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5"/>
        <w:gridCol w:w="2160"/>
        <w:gridCol w:w="1350"/>
        <w:gridCol w:w="1710"/>
        <w:gridCol w:w="2700"/>
      </w:tblGrid>
      <w:tr w:rsidR="00D83655" w:rsidRPr="001D19E5" w:rsidTr="00597CE5">
        <w:trPr>
          <w:trHeight w:val="1293"/>
        </w:trPr>
        <w:tc>
          <w:tcPr>
            <w:tcW w:w="3265" w:type="dxa"/>
            <w:gridSpan w:val="2"/>
            <w:tcMar>
              <w:top w:w="29" w:type="dxa"/>
              <w:left w:w="115" w:type="dxa"/>
              <w:bottom w:w="29" w:type="dxa"/>
              <w:right w:w="115" w:type="dxa"/>
            </w:tcMar>
          </w:tcPr>
          <w:p w:rsidR="00D83655" w:rsidRPr="001D19E5" w:rsidRDefault="00D83655" w:rsidP="00597CE5">
            <w:pPr>
              <w:pStyle w:val="Label"/>
              <w:spacing w:line="276" w:lineRule="auto"/>
              <w:jc w:val="both"/>
              <w:rPr>
                <w:rFonts w:ascii="Times New Roman" w:hAnsi="Times New Roman"/>
                <w:sz w:val="24"/>
                <w:szCs w:val="24"/>
                <w:lang w:val="fr-HT"/>
              </w:rPr>
            </w:pPr>
            <w:r w:rsidRPr="001D19E5">
              <w:rPr>
                <w:rFonts w:ascii="Times New Roman" w:hAnsi="Times New Roman"/>
                <w:noProof/>
                <w:sz w:val="24"/>
                <w:szCs w:val="24"/>
              </w:rPr>
              <w:drawing>
                <wp:inline distT="0" distB="0" distL="0" distR="0">
                  <wp:extent cx="1857375" cy="666750"/>
                  <wp:effectExtent l="0" t="0" r="0" b="0"/>
                  <wp:docPr id="1" name="Picture 1" descr="logo_DINEP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DINEPA.em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7375" cy="666750"/>
                          </a:xfrm>
                          <a:prstGeom prst="rect">
                            <a:avLst/>
                          </a:prstGeom>
                          <a:noFill/>
                          <a:ln>
                            <a:noFill/>
                          </a:ln>
                        </pic:spPr>
                      </pic:pic>
                    </a:graphicData>
                  </a:graphic>
                </wp:inline>
              </w:drawing>
            </w:r>
          </w:p>
        </w:tc>
        <w:tc>
          <w:tcPr>
            <w:tcW w:w="5760" w:type="dxa"/>
            <w:gridSpan w:val="3"/>
            <w:tcMar>
              <w:top w:w="29" w:type="dxa"/>
              <w:left w:w="115" w:type="dxa"/>
              <w:bottom w:w="29" w:type="dxa"/>
              <w:right w:w="115" w:type="dxa"/>
            </w:tcMar>
          </w:tcPr>
          <w:p w:rsidR="00D83655" w:rsidRPr="001D19E5" w:rsidRDefault="00D83655" w:rsidP="00597CE5">
            <w:pPr>
              <w:spacing w:line="276" w:lineRule="auto"/>
              <w:jc w:val="both"/>
              <w:rPr>
                <w:b/>
                <w:lang w:val="fr-HT"/>
              </w:rPr>
            </w:pPr>
            <w:r w:rsidRPr="001D19E5">
              <w:rPr>
                <w:b/>
                <w:lang w:val="fr-HT"/>
              </w:rPr>
              <w:t>République d’Haïti</w:t>
            </w:r>
          </w:p>
          <w:p w:rsidR="00D83655" w:rsidRPr="001D19E5" w:rsidRDefault="00D83655" w:rsidP="00597CE5">
            <w:pPr>
              <w:spacing w:line="276" w:lineRule="auto"/>
              <w:jc w:val="both"/>
              <w:rPr>
                <w:b/>
                <w:lang w:val="fr-HT"/>
              </w:rPr>
            </w:pPr>
            <w:r w:rsidRPr="001D19E5">
              <w:rPr>
                <w:b/>
                <w:lang w:val="fr-HT"/>
              </w:rPr>
              <w:t>Direction Nationale de l’Eau Potable et de l’Assainissement</w:t>
            </w:r>
            <w:r w:rsidRPr="001D19E5">
              <w:rPr>
                <w:lang w:val="fr-HT"/>
              </w:rPr>
              <w:br/>
            </w:r>
          </w:p>
          <w:p w:rsidR="00D83655" w:rsidRPr="001D19E5" w:rsidRDefault="00D83655" w:rsidP="00597CE5">
            <w:pPr>
              <w:spacing w:line="276" w:lineRule="auto"/>
              <w:jc w:val="both"/>
              <w:rPr>
                <w:b/>
                <w:lang w:val="fr-HT"/>
              </w:rPr>
            </w:pPr>
            <w:r w:rsidRPr="001D19E5">
              <w:rPr>
                <w:b/>
                <w:lang w:val="fr-FR"/>
              </w:rPr>
              <w:t xml:space="preserve">APPEL A CANDIDATURE </w:t>
            </w:r>
          </w:p>
        </w:tc>
      </w:tr>
      <w:tr w:rsidR="00D83655" w:rsidRPr="001D19E5" w:rsidTr="00597CE5">
        <w:trPr>
          <w:trHeight w:val="879"/>
        </w:trPr>
        <w:tc>
          <w:tcPr>
            <w:tcW w:w="1105" w:type="dxa"/>
            <w:shd w:val="clear" w:color="auto" w:fill="C6D9F1"/>
          </w:tcPr>
          <w:p w:rsidR="00D83655" w:rsidRPr="001D19E5" w:rsidRDefault="00D83655" w:rsidP="00597CE5">
            <w:pPr>
              <w:pStyle w:val="Label"/>
              <w:spacing w:line="276" w:lineRule="auto"/>
              <w:jc w:val="both"/>
              <w:rPr>
                <w:rFonts w:ascii="Times New Roman" w:hAnsi="Times New Roman"/>
                <w:sz w:val="24"/>
                <w:szCs w:val="24"/>
                <w:lang w:val="fr-HT"/>
              </w:rPr>
            </w:pPr>
          </w:p>
          <w:p w:rsidR="00D83655" w:rsidRPr="001D19E5" w:rsidRDefault="00D83655" w:rsidP="00597CE5">
            <w:pPr>
              <w:pStyle w:val="Label"/>
              <w:spacing w:line="276" w:lineRule="auto"/>
              <w:jc w:val="both"/>
              <w:rPr>
                <w:rFonts w:ascii="Times New Roman" w:hAnsi="Times New Roman"/>
                <w:sz w:val="24"/>
                <w:szCs w:val="24"/>
                <w:lang w:val="fr-HT"/>
              </w:rPr>
            </w:pPr>
            <w:r w:rsidRPr="001D19E5">
              <w:rPr>
                <w:rFonts w:ascii="Times New Roman" w:hAnsi="Times New Roman"/>
                <w:sz w:val="24"/>
                <w:szCs w:val="24"/>
                <w:lang w:val="fr-HT"/>
              </w:rPr>
              <w:t>Titre:</w:t>
            </w:r>
          </w:p>
        </w:tc>
        <w:tc>
          <w:tcPr>
            <w:tcW w:w="3510" w:type="dxa"/>
            <w:gridSpan w:val="2"/>
            <w:shd w:val="clear" w:color="auto" w:fill="C6D9F1"/>
          </w:tcPr>
          <w:p w:rsidR="00D83655" w:rsidRPr="001D19E5" w:rsidRDefault="00D83655" w:rsidP="00597CE5">
            <w:pPr>
              <w:spacing w:line="276" w:lineRule="auto"/>
              <w:contextualSpacing/>
              <w:jc w:val="both"/>
              <w:rPr>
                <w:b/>
                <w:lang w:val="fr-FR"/>
              </w:rPr>
            </w:pPr>
          </w:p>
          <w:p w:rsidR="00D83655" w:rsidRPr="001D19E5" w:rsidRDefault="00D83655" w:rsidP="00597CE5">
            <w:pPr>
              <w:spacing w:line="276" w:lineRule="auto"/>
              <w:contextualSpacing/>
              <w:jc w:val="center"/>
              <w:rPr>
                <w:b/>
                <w:lang w:val="fr-FR" w:eastAsia="ja-JP"/>
              </w:rPr>
            </w:pPr>
            <w:r>
              <w:rPr>
                <w:b/>
                <w:lang w:val="fr-FR"/>
              </w:rPr>
              <w:t>Spécialiste du Suivi et Evaluation/Projet EPARRDD</w:t>
            </w:r>
          </w:p>
        </w:tc>
        <w:tc>
          <w:tcPr>
            <w:tcW w:w="1710" w:type="dxa"/>
            <w:shd w:val="clear" w:color="auto" w:fill="C6D9F1"/>
            <w:tcMar>
              <w:top w:w="29" w:type="dxa"/>
              <w:left w:w="115" w:type="dxa"/>
              <w:bottom w:w="29" w:type="dxa"/>
              <w:right w:w="115" w:type="dxa"/>
            </w:tcMar>
          </w:tcPr>
          <w:p w:rsidR="00D83655" w:rsidRPr="001D19E5" w:rsidRDefault="00D83655" w:rsidP="00597CE5">
            <w:pPr>
              <w:pStyle w:val="Label"/>
              <w:jc w:val="center"/>
              <w:rPr>
                <w:rFonts w:ascii="Times New Roman" w:hAnsi="Times New Roman"/>
                <w:sz w:val="24"/>
                <w:szCs w:val="24"/>
                <w:lang w:val="fr-HT"/>
              </w:rPr>
            </w:pPr>
            <w:r w:rsidRPr="001D19E5">
              <w:rPr>
                <w:rFonts w:ascii="Times New Roman" w:hAnsi="Times New Roman"/>
                <w:sz w:val="24"/>
                <w:szCs w:val="24"/>
                <w:lang w:val="fr-HT"/>
              </w:rPr>
              <w:t>Date Limite d’acceptation:</w:t>
            </w:r>
          </w:p>
        </w:tc>
        <w:tc>
          <w:tcPr>
            <w:tcW w:w="2700" w:type="dxa"/>
            <w:shd w:val="clear" w:color="auto" w:fill="C6D9F1"/>
            <w:tcMar>
              <w:top w:w="29" w:type="dxa"/>
              <w:left w:w="115" w:type="dxa"/>
              <w:bottom w:w="29" w:type="dxa"/>
              <w:right w:w="115" w:type="dxa"/>
            </w:tcMar>
          </w:tcPr>
          <w:p w:rsidR="00D83655" w:rsidRPr="001D19E5" w:rsidRDefault="00D83655" w:rsidP="00597CE5">
            <w:pPr>
              <w:spacing w:line="276" w:lineRule="auto"/>
              <w:jc w:val="both"/>
              <w:rPr>
                <w:b/>
                <w:lang w:val="fr-HT"/>
              </w:rPr>
            </w:pPr>
          </w:p>
          <w:p w:rsidR="00D83655" w:rsidRPr="001D19E5" w:rsidRDefault="00D83655" w:rsidP="00597CE5">
            <w:pPr>
              <w:spacing w:line="276" w:lineRule="auto"/>
              <w:jc w:val="both"/>
              <w:rPr>
                <w:b/>
                <w:lang w:val="fr-HT"/>
              </w:rPr>
            </w:pPr>
            <w:r>
              <w:rPr>
                <w:b/>
                <w:lang w:val="fr-HT"/>
              </w:rPr>
              <w:t xml:space="preserve">31 juillet </w:t>
            </w:r>
            <w:r w:rsidRPr="001D19E5">
              <w:rPr>
                <w:b/>
                <w:lang w:val="fr-HT"/>
              </w:rPr>
              <w:t>2025</w:t>
            </w:r>
          </w:p>
        </w:tc>
      </w:tr>
    </w:tbl>
    <w:p w:rsidR="00D83655" w:rsidRDefault="00D83655" w:rsidP="00EA0172">
      <w:pPr>
        <w:shd w:val="clear" w:color="auto" w:fill="FFFFFF"/>
        <w:spacing w:after="0" w:line="360" w:lineRule="auto"/>
        <w:jc w:val="center"/>
        <w:rPr>
          <w:rFonts w:ascii="Times New Roman" w:eastAsia="Times New Roman" w:hAnsi="Times New Roman" w:cs="Times New Roman"/>
          <w:b/>
          <w:bCs/>
          <w:color w:val="333333"/>
          <w:sz w:val="24"/>
          <w:szCs w:val="24"/>
          <w:lang w:val="fr-FR"/>
        </w:rPr>
      </w:pPr>
    </w:p>
    <w:p w:rsidR="00D83655" w:rsidRPr="00613A03" w:rsidRDefault="00D83655" w:rsidP="00D83655">
      <w:pPr>
        <w:shd w:val="clear" w:color="auto" w:fill="FFFFFF"/>
        <w:spacing w:after="0" w:line="360" w:lineRule="auto"/>
        <w:jc w:val="center"/>
        <w:rPr>
          <w:rFonts w:ascii="Times New Roman" w:eastAsia="Times New Roman" w:hAnsi="Times New Roman" w:cs="Times New Roman"/>
          <w:b/>
          <w:bCs/>
          <w:color w:val="333333"/>
          <w:sz w:val="32"/>
          <w:szCs w:val="32"/>
          <w:lang w:val="fr-FR"/>
        </w:rPr>
      </w:pPr>
      <w:r w:rsidRPr="00613A03">
        <w:rPr>
          <w:rFonts w:ascii="Times New Roman" w:eastAsia="Times New Roman" w:hAnsi="Times New Roman" w:cs="Times New Roman"/>
          <w:b/>
          <w:bCs/>
          <w:color w:val="333333"/>
          <w:sz w:val="32"/>
          <w:szCs w:val="32"/>
          <w:lang w:val="fr-FR"/>
        </w:rPr>
        <w:t xml:space="preserve">Termes de référence </w:t>
      </w:r>
    </w:p>
    <w:p w:rsidR="00D83655" w:rsidRPr="00D83655" w:rsidRDefault="00D83655" w:rsidP="00D83655">
      <w:pPr>
        <w:pStyle w:val="has-text-align-center"/>
        <w:shd w:val="clear" w:color="auto" w:fill="FFFFFF"/>
        <w:spacing w:before="0" w:beforeAutospacing="0" w:after="0" w:afterAutospacing="0" w:line="360" w:lineRule="auto"/>
        <w:jc w:val="center"/>
        <w:rPr>
          <w:color w:val="333333"/>
          <w:sz w:val="28"/>
          <w:szCs w:val="28"/>
          <w:u w:val="single"/>
          <w:lang w:val="fr-FR"/>
        </w:rPr>
      </w:pPr>
      <w:r w:rsidRPr="00D83655">
        <w:rPr>
          <w:b/>
          <w:bCs/>
          <w:color w:val="333333"/>
          <w:sz w:val="28"/>
          <w:szCs w:val="28"/>
          <w:u w:val="single"/>
          <w:lang w:val="fr-FR"/>
        </w:rPr>
        <w:t>Spécialiste du Suivi et Evaluation</w:t>
      </w:r>
    </w:p>
    <w:p w:rsidR="00EA0172" w:rsidRPr="00D83655" w:rsidRDefault="00EA0172" w:rsidP="00EA0172">
      <w:pPr>
        <w:shd w:val="clear" w:color="auto" w:fill="FFFFFF"/>
        <w:spacing w:after="0" w:line="360" w:lineRule="auto"/>
        <w:jc w:val="center"/>
        <w:rPr>
          <w:rFonts w:ascii="Times New Roman" w:eastAsia="Times New Roman" w:hAnsi="Times New Roman" w:cs="Times New Roman"/>
          <w:color w:val="333333"/>
          <w:sz w:val="24"/>
          <w:szCs w:val="24"/>
          <w:lang w:val="fr-FR"/>
        </w:rPr>
      </w:pPr>
      <w:r w:rsidRPr="00D83655">
        <w:rPr>
          <w:rFonts w:ascii="Times New Roman" w:eastAsia="Times New Roman" w:hAnsi="Times New Roman" w:cs="Times New Roman"/>
          <w:b/>
          <w:bCs/>
          <w:color w:val="333333"/>
          <w:sz w:val="24"/>
          <w:szCs w:val="24"/>
          <w:lang w:val="fr-FR"/>
        </w:rPr>
        <w:t>Projet Eau Potable et Assainissement Rural, Résilient Durable et Décentralisé</w:t>
      </w:r>
    </w:p>
    <w:p w:rsidR="00EA0172" w:rsidRDefault="00EA0172" w:rsidP="00EA0172">
      <w:pPr>
        <w:shd w:val="clear" w:color="auto" w:fill="FFFFFF"/>
        <w:spacing w:after="0" w:line="360" w:lineRule="auto"/>
        <w:jc w:val="center"/>
        <w:rPr>
          <w:rFonts w:ascii="Times New Roman" w:eastAsia="Times New Roman" w:hAnsi="Times New Roman" w:cs="Times New Roman"/>
          <w:b/>
          <w:bCs/>
          <w:color w:val="333333"/>
          <w:sz w:val="24"/>
          <w:szCs w:val="24"/>
          <w:lang w:val="fr-FR"/>
        </w:rPr>
      </w:pPr>
      <w:r w:rsidRPr="00D83655">
        <w:rPr>
          <w:rFonts w:ascii="Times New Roman" w:eastAsia="Times New Roman" w:hAnsi="Times New Roman" w:cs="Times New Roman"/>
          <w:b/>
          <w:bCs/>
          <w:color w:val="333333"/>
          <w:sz w:val="24"/>
          <w:szCs w:val="24"/>
          <w:lang w:val="fr-FR"/>
        </w:rPr>
        <w:t>(EPARRDD)</w:t>
      </w:r>
    </w:p>
    <w:p w:rsidR="00D83655" w:rsidRPr="00D83655" w:rsidRDefault="00D83655" w:rsidP="00EA0172">
      <w:pPr>
        <w:shd w:val="clear" w:color="auto" w:fill="FFFFFF"/>
        <w:spacing w:after="0" w:line="360" w:lineRule="auto"/>
        <w:jc w:val="center"/>
        <w:rPr>
          <w:rFonts w:ascii="Times New Roman" w:eastAsia="Times New Roman" w:hAnsi="Times New Roman" w:cs="Times New Roman"/>
          <w:b/>
          <w:bCs/>
          <w:color w:val="333333"/>
          <w:sz w:val="24"/>
          <w:szCs w:val="24"/>
          <w:lang w:val="fr-FR"/>
        </w:rPr>
      </w:pPr>
    </w:p>
    <w:p w:rsidR="00EA0172" w:rsidRPr="003021A3" w:rsidRDefault="00EA0172" w:rsidP="00EA0172">
      <w:pPr>
        <w:numPr>
          <w:ilvl w:val="0"/>
          <w:numId w:val="1"/>
        </w:numPr>
        <w:shd w:val="clear" w:color="auto" w:fill="FFFFFF"/>
        <w:spacing w:after="0" w:line="360" w:lineRule="auto"/>
        <w:ind w:left="0"/>
        <w:jc w:val="both"/>
        <w:rPr>
          <w:rFonts w:ascii="Times New Roman" w:eastAsia="Times New Roman" w:hAnsi="Times New Roman" w:cs="Times New Roman"/>
          <w:color w:val="333333"/>
          <w:sz w:val="24"/>
          <w:szCs w:val="24"/>
        </w:rPr>
      </w:pPr>
      <w:r w:rsidRPr="003021A3">
        <w:rPr>
          <w:rFonts w:ascii="Times New Roman" w:eastAsia="Times New Roman" w:hAnsi="Times New Roman" w:cs="Times New Roman"/>
          <w:b/>
          <w:bCs/>
          <w:color w:val="333333"/>
          <w:sz w:val="24"/>
          <w:szCs w:val="24"/>
        </w:rPr>
        <w:t>CONTEXTE</w:t>
      </w:r>
    </w:p>
    <w:p w:rsidR="00EA0172" w:rsidRDefault="00EA0172" w:rsidP="00EA0172">
      <w:pPr>
        <w:pStyle w:val="NoSpacing"/>
        <w:jc w:val="both"/>
        <w:rPr>
          <w:rFonts w:ascii="Times New Roman" w:hAnsi="Times New Roman" w:cs="Times New Roman"/>
          <w:lang w:val="fr-FR"/>
        </w:rPr>
      </w:pPr>
      <w:r w:rsidRPr="008749B2">
        <w:rPr>
          <w:rFonts w:ascii="Times New Roman" w:hAnsi="Times New Roman" w:cs="Times New Roman"/>
          <w:sz w:val="24"/>
          <w:szCs w:val="24"/>
          <w:lang w:val="fr-FR"/>
        </w:rPr>
        <w:t>La consultation a pour contexte le Projet Eau Potable et Assainissement Rural, Résilient Durable et Décentralisé financé par un don de la Banque mondiale à hauteur de 46.2 millions SDR équival</w:t>
      </w:r>
      <w:r>
        <w:rPr>
          <w:rFonts w:ascii="Times New Roman" w:hAnsi="Times New Roman" w:cs="Times New Roman"/>
          <w:sz w:val="24"/>
          <w:szCs w:val="24"/>
          <w:lang w:val="fr-FR"/>
        </w:rPr>
        <w:t>a</w:t>
      </w:r>
      <w:r w:rsidRPr="008749B2">
        <w:rPr>
          <w:rFonts w:ascii="Times New Roman" w:hAnsi="Times New Roman" w:cs="Times New Roman"/>
          <w:sz w:val="24"/>
          <w:szCs w:val="24"/>
          <w:lang w:val="fr-FR"/>
        </w:rPr>
        <w:t>nt à 80 millions de dollars américains. L’objectif du projet est d’accroître l’accès à des services ruraux d’approvisionnement en eau et d’assainissement de base inclusifs, résilients et durables. Le Projet financera : i) une réponse Eau, Assainissement et Hygiène à l’épidémie de choléra et aux situations d’urgence ainsi que le renforcement institutionnel; ii) la réhabilitation/extension des réseaux prioritaires d’adduction d’eau potable dans 20 à 30 communes ; iii) des investissements à petite échelle dans 15 communes dans la péninsule du Sud pour améliorer le niveau de service des systèmes d’eau et d’assainissement existants, protéger et conserver les ressources en eau et renforcer la sécurité hydrique et alimentaire des communautés ; iv) la gestion du projet et des activités de renforcement institutionnelle et éventuellement et vi) une intervention d’urgence contingente en cas d’urgence éligible. Environ 250 000 personnes vivant dans les zones rurales et les petites villes bénéficieront d’un accès accru aux services de base en eau potable et 125 000 d’un accès accru aux services d’assainissement de base, ainsi que d’une meilleure résilience au changement climatique</w:t>
      </w:r>
      <w:r w:rsidRPr="008749B2">
        <w:rPr>
          <w:rFonts w:ascii="Times New Roman" w:hAnsi="Times New Roman" w:cs="Times New Roman"/>
          <w:lang w:val="fr-FR"/>
        </w:rPr>
        <w:t>.</w:t>
      </w:r>
    </w:p>
    <w:p w:rsidR="0001343C" w:rsidRPr="008749B2" w:rsidRDefault="0001343C" w:rsidP="00EA0172">
      <w:pPr>
        <w:pStyle w:val="NoSpacing"/>
        <w:jc w:val="both"/>
        <w:rPr>
          <w:rFonts w:ascii="Times New Roman" w:hAnsi="Times New Roman" w:cs="Times New Roman"/>
          <w:lang w:val="fr-FR"/>
        </w:rPr>
      </w:pPr>
    </w:p>
    <w:p w:rsidR="00EA0172" w:rsidRPr="003021A3" w:rsidRDefault="00EA0172" w:rsidP="00EA0172">
      <w:pPr>
        <w:pStyle w:val="NoSpacing"/>
        <w:jc w:val="both"/>
        <w:rPr>
          <w:lang w:val="fr-FR"/>
        </w:rPr>
      </w:pPr>
    </w:p>
    <w:p w:rsidR="00EA0172" w:rsidRPr="0071212B" w:rsidRDefault="00EA0172" w:rsidP="00EA0172">
      <w:pPr>
        <w:numPr>
          <w:ilvl w:val="0"/>
          <w:numId w:val="1"/>
        </w:numPr>
        <w:shd w:val="clear" w:color="auto" w:fill="FFFFFF"/>
        <w:spacing w:after="0" w:line="360" w:lineRule="auto"/>
        <w:ind w:left="0"/>
        <w:jc w:val="both"/>
        <w:rPr>
          <w:rFonts w:ascii="Times New Roman" w:eastAsia="Times New Roman" w:hAnsi="Times New Roman" w:cs="Times New Roman"/>
          <w:color w:val="333333"/>
          <w:sz w:val="24"/>
          <w:szCs w:val="24"/>
        </w:rPr>
      </w:pPr>
      <w:r w:rsidRPr="0071212B">
        <w:rPr>
          <w:rFonts w:ascii="Times New Roman" w:eastAsia="Times New Roman" w:hAnsi="Times New Roman" w:cs="Times New Roman"/>
          <w:b/>
          <w:bCs/>
          <w:color w:val="333333"/>
          <w:sz w:val="24"/>
          <w:szCs w:val="24"/>
        </w:rPr>
        <w:t>OBJECTIF DU CONSULTANT</w:t>
      </w:r>
    </w:p>
    <w:p w:rsidR="00EA0172" w:rsidRDefault="00192682" w:rsidP="00EA0172">
      <w:pPr>
        <w:pStyle w:val="NoSpacing"/>
        <w:jc w:val="both"/>
        <w:rPr>
          <w:rFonts w:ascii="Times New Roman" w:hAnsi="Times New Roman" w:cs="Times New Roman"/>
          <w:sz w:val="24"/>
          <w:szCs w:val="24"/>
          <w:lang w:val="fr-FR"/>
        </w:rPr>
      </w:pPr>
      <w:r w:rsidRPr="00192682">
        <w:rPr>
          <w:rFonts w:ascii="Times New Roman" w:hAnsi="Times New Roman" w:cs="Times New Roman"/>
          <w:sz w:val="24"/>
          <w:szCs w:val="24"/>
          <w:lang w:val="fr-FR"/>
        </w:rPr>
        <w:t xml:space="preserve">L'objectif du consultant Spécialiste du Suivi et Evaluation est d'assurer le suivi et l'évaluation de toutes les activités du projet et de renseigner de façon régulière et systématique tous les indicateurs de performance du projet du projet eau potable et assainissement rural, résilient, durable et décentralisé conformément au cadre de résultats </w:t>
      </w:r>
      <w:r w:rsidRPr="00192682">
        <w:rPr>
          <w:rFonts w:ascii="Times New Roman" w:hAnsi="Times New Roman" w:cs="Times New Roman"/>
          <w:sz w:val="24"/>
          <w:szCs w:val="24"/>
          <w:lang w:val="fr-FR"/>
        </w:rPr>
        <w:lastRenderedPageBreak/>
        <w:t>du projet tel que défini dans le M</w:t>
      </w:r>
      <w:r w:rsidR="0080275F">
        <w:rPr>
          <w:rFonts w:ascii="Times New Roman" w:hAnsi="Times New Roman" w:cs="Times New Roman"/>
          <w:sz w:val="24"/>
          <w:szCs w:val="24"/>
          <w:lang w:val="fr-FR"/>
        </w:rPr>
        <w:t>OP</w:t>
      </w:r>
      <w:r w:rsidRPr="00192682">
        <w:rPr>
          <w:rFonts w:ascii="Times New Roman" w:hAnsi="Times New Roman" w:cs="Times New Roman"/>
          <w:sz w:val="24"/>
          <w:szCs w:val="24"/>
          <w:lang w:val="fr-FR"/>
        </w:rPr>
        <w:t xml:space="preserve"> et de s'assurer que les résultats du projet sont enregistrés dans le S</w:t>
      </w:r>
      <w:r w:rsidR="005B3FCD">
        <w:rPr>
          <w:rFonts w:ascii="Times New Roman" w:hAnsi="Times New Roman" w:cs="Times New Roman"/>
          <w:sz w:val="24"/>
          <w:szCs w:val="24"/>
          <w:lang w:val="fr-FR"/>
        </w:rPr>
        <w:t>IE</w:t>
      </w:r>
      <w:r w:rsidRPr="00192682">
        <w:rPr>
          <w:rFonts w:ascii="Times New Roman" w:hAnsi="Times New Roman" w:cs="Times New Roman"/>
          <w:sz w:val="24"/>
          <w:szCs w:val="24"/>
          <w:lang w:val="fr-FR"/>
        </w:rPr>
        <w:t>PA.</w:t>
      </w:r>
    </w:p>
    <w:p w:rsidR="000479C0" w:rsidRPr="008749B2" w:rsidRDefault="000479C0" w:rsidP="00EA0172">
      <w:pPr>
        <w:pStyle w:val="NoSpacing"/>
        <w:jc w:val="both"/>
        <w:rPr>
          <w:rFonts w:ascii="Times New Roman" w:hAnsi="Times New Roman" w:cs="Times New Roman"/>
          <w:sz w:val="24"/>
          <w:szCs w:val="24"/>
          <w:lang w:val="fr-FR"/>
        </w:rPr>
      </w:pPr>
    </w:p>
    <w:p w:rsidR="00EA0172" w:rsidRPr="003021A3" w:rsidRDefault="00EA0172" w:rsidP="00EA0172">
      <w:pPr>
        <w:pStyle w:val="NoSpacing"/>
        <w:rPr>
          <w:lang w:val="fr-FR"/>
        </w:rPr>
      </w:pPr>
    </w:p>
    <w:p w:rsidR="00EA0172" w:rsidRPr="00707D9F" w:rsidRDefault="00EA0172" w:rsidP="00EA0172">
      <w:pPr>
        <w:numPr>
          <w:ilvl w:val="0"/>
          <w:numId w:val="1"/>
        </w:numPr>
        <w:shd w:val="clear" w:color="auto" w:fill="FFFFFF"/>
        <w:spacing w:after="0" w:line="360" w:lineRule="auto"/>
        <w:ind w:left="0"/>
        <w:jc w:val="both"/>
        <w:rPr>
          <w:rFonts w:ascii="Times New Roman" w:eastAsia="Times New Roman" w:hAnsi="Times New Roman" w:cs="Times New Roman"/>
          <w:color w:val="333333"/>
          <w:sz w:val="24"/>
          <w:szCs w:val="24"/>
        </w:rPr>
      </w:pPr>
      <w:r w:rsidRPr="007E7713">
        <w:rPr>
          <w:rFonts w:ascii="Times New Roman" w:eastAsia="Times New Roman" w:hAnsi="Times New Roman" w:cs="Times New Roman"/>
          <w:b/>
          <w:bCs/>
          <w:color w:val="333333"/>
          <w:sz w:val="24"/>
          <w:szCs w:val="24"/>
          <w:lang w:val="fr-FR"/>
        </w:rPr>
        <w:t>RÔLES ET RESPONSABILITÉS</w:t>
      </w:r>
    </w:p>
    <w:p w:rsidR="00707D9F" w:rsidRPr="0071212B" w:rsidRDefault="00707D9F" w:rsidP="0001343C">
      <w:pPr>
        <w:pStyle w:val="NoSpacing"/>
      </w:pPr>
    </w:p>
    <w:p w:rsid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hAnsi="Times New Roman" w:cs="Times New Roman"/>
          <w:sz w:val="24"/>
          <w:szCs w:val="24"/>
          <w:lang w:val="fr-FR"/>
        </w:rPr>
        <w:t>Coordonner</w:t>
      </w:r>
      <w:r w:rsidRPr="005B3FCD">
        <w:rPr>
          <w:rFonts w:ascii="Times New Roman" w:eastAsia="Times New Roman" w:hAnsi="Times New Roman" w:cs="Times New Roman"/>
          <w:color w:val="333333"/>
          <w:sz w:val="24"/>
          <w:szCs w:val="24"/>
          <w:lang w:val="fr-FR"/>
        </w:rPr>
        <w:t xml:space="preserve"> les activités liées au S&amp;E à tous les niveaux du projet (données de base, évaluation de l'impact des bénéficiaires, enquêtes, etc.)</w:t>
      </w:r>
    </w:p>
    <w:p w:rsidR="005B3FCD" w:rsidRPr="005B3FCD" w:rsidRDefault="005B3FCD" w:rsidP="005B3FCD">
      <w:pPr>
        <w:pStyle w:val="NoSpacing"/>
        <w:jc w:val="both"/>
        <w:rPr>
          <w:rFonts w:ascii="Times New Roman" w:eastAsia="Times New Roman" w:hAnsi="Times New Roman" w:cs="Times New Roman"/>
          <w:color w:val="333333"/>
          <w:sz w:val="24"/>
          <w:szCs w:val="24"/>
          <w:lang w:val="fr-FR"/>
        </w:rPr>
      </w:pPr>
    </w:p>
    <w:p w:rsid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 Aider à la préparation du matériel nécessaire (questionnaires, tests, etc.) pour effectuer le suivi et l'évaluation des résultats de la mise en </w:t>
      </w:r>
      <w:r w:rsidR="0080275F">
        <w:rPr>
          <w:rFonts w:ascii="Times New Roman" w:eastAsia="Times New Roman" w:hAnsi="Times New Roman" w:cs="Times New Roman"/>
          <w:color w:val="333333"/>
          <w:sz w:val="24"/>
          <w:szCs w:val="24"/>
          <w:lang w:val="fr-FR"/>
        </w:rPr>
        <w:t>œ</w:t>
      </w:r>
      <w:r w:rsidR="0080275F" w:rsidRPr="005B3FCD">
        <w:rPr>
          <w:rFonts w:ascii="Times New Roman" w:eastAsia="Times New Roman" w:hAnsi="Times New Roman" w:cs="Times New Roman"/>
          <w:color w:val="333333"/>
          <w:sz w:val="24"/>
          <w:szCs w:val="24"/>
          <w:lang w:val="fr-FR"/>
        </w:rPr>
        <w:t>uvre</w:t>
      </w:r>
      <w:r w:rsidRPr="005B3FCD">
        <w:rPr>
          <w:rFonts w:ascii="Times New Roman" w:eastAsia="Times New Roman" w:hAnsi="Times New Roman" w:cs="Times New Roman"/>
          <w:color w:val="333333"/>
          <w:sz w:val="24"/>
          <w:szCs w:val="24"/>
          <w:lang w:val="fr-FR"/>
        </w:rPr>
        <w:t xml:space="preserve"> du projet</w:t>
      </w:r>
    </w:p>
    <w:p w:rsidR="005B3FCD" w:rsidRP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 Mener une étude de base sur le terrain et une évaluation de la mise en </w:t>
      </w:r>
      <w:r w:rsidR="0080275F">
        <w:rPr>
          <w:rFonts w:ascii="Times New Roman" w:eastAsia="Times New Roman" w:hAnsi="Times New Roman" w:cs="Times New Roman"/>
          <w:color w:val="333333"/>
          <w:sz w:val="24"/>
          <w:szCs w:val="24"/>
          <w:lang w:val="fr-FR"/>
        </w:rPr>
        <w:t>œ</w:t>
      </w:r>
      <w:r w:rsidR="0080275F" w:rsidRPr="005B3FCD">
        <w:rPr>
          <w:rFonts w:ascii="Times New Roman" w:eastAsia="Times New Roman" w:hAnsi="Times New Roman" w:cs="Times New Roman"/>
          <w:color w:val="333333"/>
          <w:sz w:val="24"/>
          <w:szCs w:val="24"/>
          <w:lang w:val="fr-FR"/>
        </w:rPr>
        <w:t>uvre</w:t>
      </w:r>
      <w:r w:rsidRPr="005B3FCD">
        <w:rPr>
          <w:rFonts w:ascii="Times New Roman" w:eastAsia="Times New Roman" w:hAnsi="Times New Roman" w:cs="Times New Roman"/>
          <w:color w:val="333333"/>
          <w:sz w:val="24"/>
          <w:szCs w:val="24"/>
          <w:lang w:val="fr-FR"/>
        </w:rPr>
        <w:t xml:space="preserve"> du projet</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Recueillir, traiter et analyser les principales informations concernant les composantes du </w:t>
      </w:r>
      <w:r w:rsidR="00707D9F" w:rsidRPr="005B3FCD">
        <w:rPr>
          <w:rFonts w:ascii="Times New Roman" w:eastAsia="Times New Roman" w:hAnsi="Times New Roman" w:cs="Times New Roman"/>
          <w:color w:val="333333"/>
          <w:sz w:val="24"/>
          <w:szCs w:val="24"/>
          <w:lang w:val="fr-FR"/>
        </w:rPr>
        <w:t>projet ;</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Préparer une base de données électronique et analyser les informations collectées en fonction des principaux indicateurs de mise en </w:t>
      </w:r>
      <w:r w:rsidR="00707D9F" w:rsidRPr="005B3FCD">
        <w:rPr>
          <w:rFonts w:ascii="Times New Roman" w:eastAsia="Times New Roman" w:hAnsi="Times New Roman" w:cs="Times New Roman"/>
          <w:color w:val="333333"/>
          <w:sz w:val="24"/>
          <w:szCs w:val="24"/>
          <w:lang w:val="fr-FR"/>
        </w:rPr>
        <w:t>œuvre</w:t>
      </w:r>
      <w:r w:rsidRPr="005B3FCD">
        <w:rPr>
          <w:rFonts w:ascii="Times New Roman" w:eastAsia="Times New Roman" w:hAnsi="Times New Roman" w:cs="Times New Roman"/>
          <w:color w:val="333333"/>
          <w:sz w:val="24"/>
          <w:szCs w:val="24"/>
          <w:lang w:val="fr-FR"/>
        </w:rPr>
        <w:t xml:space="preserve"> du projet</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Préparer des rapports sur le suivi et l'évaluation des résultats de la mise en </w:t>
      </w:r>
      <w:r w:rsidR="00707D9F" w:rsidRPr="005B3FCD">
        <w:rPr>
          <w:rFonts w:ascii="Times New Roman" w:eastAsia="Times New Roman" w:hAnsi="Times New Roman" w:cs="Times New Roman"/>
          <w:color w:val="333333"/>
          <w:sz w:val="24"/>
          <w:szCs w:val="24"/>
          <w:lang w:val="fr-FR"/>
        </w:rPr>
        <w:t>œuvre</w:t>
      </w:r>
      <w:r w:rsidRPr="005B3FCD">
        <w:rPr>
          <w:rFonts w:ascii="Times New Roman" w:eastAsia="Times New Roman" w:hAnsi="Times New Roman" w:cs="Times New Roman"/>
          <w:color w:val="333333"/>
          <w:sz w:val="24"/>
          <w:szCs w:val="24"/>
          <w:lang w:val="fr-FR"/>
        </w:rPr>
        <w:t xml:space="preserve"> des </w:t>
      </w:r>
      <w:r w:rsidR="00707D9F" w:rsidRPr="005B3FCD">
        <w:rPr>
          <w:rFonts w:ascii="Times New Roman" w:eastAsia="Times New Roman" w:hAnsi="Times New Roman" w:cs="Times New Roman"/>
          <w:color w:val="333333"/>
          <w:sz w:val="24"/>
          <w:szCs w:val="24"/>
          <w:lang w:val="fr-FR"/>
        </w:rPr>
        <w:t>projets ;</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Fournir des rapports trimestriels et semestriels sur les travaux mis en </w:t>
      </w:r>
      <w:r w:rsidR="00707D9F">
        <w:rPr>
          <w:rFonts w:ascii="Times New Roman" w:eastAsia="Times New Roman" w:hAnsi="Times New Roman" w:cs="Times New Roman"/>
          <w:color w:val="333333"/>
          <w:sz w:val="24"/>
          <w:szCs w:val="24"/>
          <w:lang w:val="fr-FR"/>
        </w:rPr>
        <w:t>œ</w:t>
      </w:r>
      <w:r w:rsidR="00707D9F" w:rsidRPr="005B3FCD">
        <w:rPr>
          <w:rFonts w:ascii="Times New Roman" w:eastAsia="Times New Roman" w:hAnsi="Times New Roman" w:cs="Times New Roman"/>
          <w:color w:val="333333"/>
          <w:sz w:val="24"/>
          <w:szCs w:val="24"/>
          <w:lang w:val="fr-FR"/>
        </w:rPr>
        <w:t>uvre</w:t>
      </w:r>
      <w:r w:rsidRPr="005B3FCD">
        <w:rPr>
          <w:rFonts w:ascii="Times New Roman" w:eastAsia="Times New Roman" w:hAnsi="Times New Roman" w:cs="Times New Roman"/>
          <w:color w:val="333333"/>
          <w:sz w:val="24"/>
          <w:szCs w:val="24"/>
          <w:lang w:val="fr-FR"/>
        </w:rPr>
        <w:t xml:space="preserve"> et un rapport annuel complet sur les résultats de chaque année de mise en </w:t>
      </w:r>
      <w:r w:rsidR="00707D9F">
        <w:rPr>
          <w:rFonts w:ascii="Times New Roman" w:eastAsia="Times New Roman" w:hAnsi="Times New Roman" w:cs="Times New Roman"/>
          <w:color w:val="333333"/>
          <w:sz w:val="24"/>
          <w:szCs w:val="24"/>
          <w:lang w:val="fr-FR"/>
        </w:rPr>
        <w:t>œ</w:t>
      </w:r>
      <w:r w:rsidR="00707D9F" w:rsidRPr="005B3FCD">
        <w:rPr>
          <w:rFonts w:ascii="Times New Roman" w:eastAsia="Times New Roman" w:hAnsi="Times New Roman" w:cs="Times New Roman"/>
          <w:color w:val="333333"/>
          <w:sz w:val="24"/>
          <w:szCs w:val="24"/>
          <w:lang w:val="fr-FR"/>
        </w:rPr>
        <w:t>uvre</w:t>
      </w:r>
      <w:r w:rsidRPr="005B3FCD">
        <w:rPr>
          <w:rFonts w:ascii="Times New Roman" w:eastAsia="Times New Roman" w:hAnsi="Times New Roman" w:cs="Times New Roman"/>
          <w:color w:val="333333"/>
          <w:sz w:val="24"/>
          <w:szCs w:val="24"/>
          <w:lang w:val="fr-FR"/>
        </w:rPr>
        <w:t xml:space="preserve"> du projet</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Assister le Coordonnateur du Projet dans toutes les questions techniques liées à la mise en </w:t>
      </w:r>
      <w:r w:rsidR="00707D9F">
        <w:rPr>
          <w:rFonts w:ascii="Times New Roman" w:eastAsia="Times New Roman" w:hAnsi="Times New Roman" w:cs="Times New Roman"/>
          <w:color w:val="333333"/>
          <w:sz w:val="24"/>
          <w:szCs w:val="24"/>
          <w:lang w:val="fr-FR"/>
        </w:rPr>
        <w:t>œ</w:t>
      </w:r>
      <w:r w:rsidR="00707D9F" w:rsidRPr="005B3FCD">
        <w:rPr>
          <w:rFonts w:ascii="Times New Roman" w:eastAsia="Times New Roman" w:hAnsi="Times New Roman" w:cs="Times New Roman"/>
          <w:color w:val="333333"/>
          <w:sz w:val="24"/>
          <w:szCs w:val="24"/>
          <w:lang w:val="fr-FR"/>
        </w:rPr>
        <w:t>uvre</w:t>
      </w:r>
      <w:r w:rsidRPr="005B3FCD">
        <w:rPr>
          <w:rFonts w:ascii="Times New Roman" w:eastAsia="Times New Roman" w:hAnsi="Times New Roman" w:cs="Times New Roman"/>
          <w:color w:val="333333"/>
          <w:sz w:val="24"/>
          <w:szCs w:val="24"/>
          <w:lang w:val="fr-FR"/>
        </w:rPr>
        <w:t xml:space="preserve"> du projet, ainsi que dans le suivi et l'évaluation du projet</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Aider I'UGP à préparer des plans d'action, en utilisant les données obtenues sur la base du processus de suivi, les informations de réponse obtenues pendant la phase de mise en </w:t>
      </w:r>
      <w:r w:rsidR="00707D9F">
        <w:rPr>
          <w:rFonts w:ascii="Times New Roman" w:eastAsia="Times New Roman" w:hAnsi="Times New Roman" w:cs="Times New Roman"/>
          <w:color w:val="333333"/>
          <w:sz w:val="24"/>
          <w:szCs w:val="24"/>
          <w:lang w:val="fr-FR"/>
        </w:rPr>
        <w:t>œ</w:t>
      </w:r>
      <w:r w:rsidR="00707D9F" w:rsidRPr="005B3FCD">
        <w:rPr>
          <w:rFonts w:ascii="Times New Roman" w:eastAsia="Times New Roman" w:hAnsi="Times New Roman" w:cs="Times New Roman"/>
          <w:color w:val="333333"/>
          <w:sz w:val="24"/>
          <w:szCs w:val="24"/>
          <w:lang w:val="fr-FR"/>
        </w:rPr>
        <w:t>uvre</w:t>
      </w:r>
      <w:r w:rsidRPr="005B3FCD">
        <w:rPr>
          <w:rFonts w:ascii="Times New Roman" w:eastAsia="Times New Roman" w:hAnsi="Times New Roman" w:cs="Times New Roman"/>
          <w:color w:val="333333"/>
          <w:sz w:val="24"/>
          <w:szCs w:val="24"/>
          <w:lang w:val="fr-FR"/>
        </w:rPr>
        <w:t>, les leçons apprises, ainsi qu'en appliquant les pratiques améliorées</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Effectuer des visites régulières sur le terrain, afin d'inspecter et d'approuver la manière dont les plans d'action sont mis en </w:t>
      </w:r>
      <w:r w:rsidR="00707D9F">
        <w:rPr>
          <w:rFonts w:ascii="Times New Roman" w:eastAsia="Times New Roman" w:hAnsi="Times New Roman" w:cs="Times New Roman"/>
          <w:color w:val="333333"/>
          <w:sz w:val="24"/>
          <w:szCs w:val="24"/>
          <w:lang w:val="fr-FR"/>
        </w:rPr>
        <w:t>œ</w:t>
      </w:r>
      <w:r w:rsidR="00707D9F" w:rsidRPr="005B3FCD">
        <w:rPr>
          <w:rFonts w:ascii="Times New Roman" w:eastAsia="Times New Roman" w:hAnsi="Times New Roman" w:cs="Times New Roman"/>
          <w:color w:val="333333"/>
          <w:sz w:val="24"/>
          <w:szCs w:val="24"/>
          <w:lang w:val="fr-FR"/>
        </w:rPr>
        <w:t>uvre</w:t>
      </w:r>
      <w:r w:rsidRPr="005B3FCD">
        <w:rPr>
          <w:rFonts w:ascii="Times New Roman" w:eastAsia="Times New Roman" w:hAnsi="Times New Roman" w:cs="Times New Roman"/>
          <w:color w:val="333333"/>
          <w:sz w:val="24"/>
          <w:szCs w:val="24"/>
          <w:lang w:val="fr-FR"/>
        </w:rPr>
        <w:t xml:space="preserve"> et afin de contrôler leur conformité</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Fournir un soutien technique dans le développement d'un système complet d'information de gestion à utiliser par le fournisseur de services pour suivre la performance du secteur au niveau de la municipalité ;</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Travailler en collaboration avec l'ONEPA et les OREPA pour l'amélioration et le suivi des indicateurs des SAEP ruraux selon les critères du Projet EPARRDD ;</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Participer avec l'ONEPA à la conception, au développement et à la miseen place de</w:t>
      </w:r>
      <w:r w:rsidR="00707D9F">
        <w:rPr>
          <w:rFonts w:ascii="Times New Roman" w:eastAsia="Times New Roman" w:hAnsi="Times New Roman" w:cs="Times New Roman"/>
          <w:color w:val="333333"/>
          <w:sz w:val="24"/>
          <w:szCs w:val="24"/>
          <w:lang w:val="fr-FR"/>
        </w:rPr>
        <w:t xml:space="preserve"> l</w:t>
      </w:r>
      <w:r w:rsidRPr="005B3FCD">
        <w:rPr>
          <w:rFonts w:ascii="Times New Roman" w:eastAsia="Times New Roman" w:hAnsi="Times New Roman" w:cs="Times New Roman"/>
          <w:color w:val="333333"/>
          <w:sz w:val="24"/>
          <w:szCs w:val="24"/>
          <w:lang w:val="fr-FR"/>
        </w:rPr>
        <w:t>'application WEB pour le suivi des données EPA ;</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Planifier des missionsde terrain pour vérifier les données rapportées sur les indicateurs de performance ;</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S'assurer avec l'ONEPA de la formation des utilisateurs (TEPAC, </w:t>
      </w:r>
      <w:r w:rsidR="00707D9F" w:rsidRPr="005B3FCD">
        <w:rPr>
          <w:rFonts w:ascii="Times New Roman" w:eastAsia="Times New Roman" w:hAnsi="Times New Roman" w:cs="Times New Roman"/>
          <w:color w:val="333333"/>
          <w:sz w:val="24"/>
          <w:szCs w:val="24"/>
          <w:lang w:val="fr-FR"/>
        </w:rPr>
        <w:t>CAEPA</w:t>
      </w:r>
      <w:r w:rsidR="00707D9F">
        <w:rPr>
          <w:rFonts w:ascii="Times New Roman" w:eastAsia="Times New Roman" w:hAnsi="Times New Roman" w:cs="Times New Roman"/>
          <w:color w:val="333333"/>
          <w:sz w:val="24"/>
          <w:szCs w:val="24"/>
          <w:lang w:val="fr-FR"/>
        </w:rPr>
        <w:t>,</w:t>
      </w:r>
      <w:r w:rsidR="00707D9F" w:rsidRPr="005B3FCD">
        <w:rPr>
          <w:rFonts w:ascii="Times New Roman" w:eastAsia="Times New Roman" w:hAnsi="Times New Roman" w:cs="Times New Roman"/>
          <w:color w:val="333333"/>
          <w:sz w:val="24"/>
          <w:szCs w:val="24"/>
          <w:lang w:val="fr-FR"/>
        </w:rPr>
        <w:t xml:space="preserve"> OP</w:t>
      </w:r>
      <w:r w:rsidRPr="005B3FCD">
        <w:rPr>
          <w:rFonts w:ascii="Times New Roman" w:eastAsia="Times New Roman" w:hAnsi="Times New Roman" w:cs="Times New Roman"/>
          <w:color w:val="333333"/>
          <w:sz w:val="24"/>
          <w:szCs w:val="24"/>
          <w:lang w:val="fr-FR"/>
        </w:rPr>
        <w:t xml:space="preserve">, Enquêteurs) des outils de collectes et de rapportage des données sur les indicateurs de </w:t>
      </w:r>
      <w:r w:rsidR="00707D9F" w:rsidRPr="005B3FCD">
        <w:rPr>
          <w:rFonts w:ascii="Times New Roman" w:eastAsia="Times New Roman" w:hAnsi="Times New Roman" w:cs="Times New Roman"/>
          <w:color w:val="333333"/>
          <w:sz w:val="24"/>
          <w:szCs w:val="24"/>
          <w:lang w:val="fr-FR"/>
        </w:rPr>
        <w:t>performance.</w:t>
      </w:r>
    </w:p>
    <w:p w:rsidR="005B3FCD" w:rsidRDefault="005B3FCD"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Appuyer le Coordonnateur de Projet en collaboration avec les services techniques dans le suivi de la mise en œuvre des projets AEP dans les différentes zones ciblées par le projet.</w:t>
      </w:r>
    </w:p>
    <w:p w:rsidR="00707D9F" w:rsidRDefault="00707D9F"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 xml:space="preserve">Assurer la liaison et la collaboration entre tous les acteurs de la DINEPA impliqués dans la mise en </w:t>
      </w:r>
      <w:r w:rsidR="0001343C">
        <w:rPr>
          <w:rFonts w:ascii="Times New Roman" w:eastAsia="Times New Roman" w:hAnsi="Times New Roman" w:cs="Times New Roman"/>
          <w:color w:val="333333"/>
          <w:sz w:val="24"/>
          <w:szCs w:val="24"/>
          <w:lang w:val="fr-FR"/>
        </w:rPr>
        <w:t>œ</w:t>
      </w:r>
      <w:r w:rsidR="0001343C" w:rsidRPr="005B3FCD">
        <w:rPr>
          <w:rFonts w:ascii="Times New Roman" w:eastAsia="Times New Roman" w:hAnsi="Times New Roman" w:cs="Times New Roman"/>
          <w:color w:val="333333"/>
          <w:sz w:val="24"/>
          <w:szCs w:val="24"/>
          <w:lang w:val="fr-FR"/>
        </w:rPr>
        <w:t>uvre</w:t>
      </w:r>
      <w:r w:rsidRPr="005B3FCD">
        <w:rPr>
          <w:rFonts w:ascii="Times New Roman" w:eastAsia="Times New Roman" w:hAnsi="Times New Roman" w:cs="Times New Roman"/>
          <w:color w:val="333333"/>
          <w:sz w:val="24"/>
          <w:szCs w:val="24"/>
          <w:lang w:val="fr-FR"/>
        </w:rPr>
        <w:t xml:space="preserve"> des interventions Eau Potable Assainissement et Hygiène du Projet ;</w:t>
      </w:r>
    </w:p>
    <w:p w:rsidR="00707D9F" w:rsidRDefault="00707D9F"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Assurer à travers les OREPA le suivi permanent de la collecte des données EPA et la bonne marche de la supervision des travaux de construction et de réhabilitation de SAEP</w:t>
      </w:r>
      <w:r w:rsidR="000479C0">
        <w:rPr>
          <w:rFonts w:ascii="Times New Roman" w:eastAsia="Times New Roman" w:hAnsi="Times New Roman" w:cs="Times New Roman"/>
          <w:color w:val="333333"/>
          <w:sz w:val="24"/>
          <w:szCs w:val="24"/>
          <w:lang w:val="fr-FR"/>
        </w:rPr>
        <w:t>.</w:t>
      </w:r>
    </w:p>
    <w:p w:rsidR="00707D9F" w:rsidRDefault="00707D9F"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Collaborer avec le Coordonnateur de Projet dans le suivi du cadre de résultats du Projet EPARRDD ;</w:t>
      </w:r>
    </w:p>
    <w:p w:rsidR="00707D9F" w:rsidRDefault="00707D9F" w:rsidP="005B3FCD">
      <w:pPr>
        <w:pStyle w:val="NoSpacing"/>
        <w:rPr>
          <w:rFonts w:ascii="Times New Roman" w:eastAsia="Times New Roman" w:hAnsi="Times New Roman" w:cs="Times New Roman"/>
          <w:color w:val="333333"/>
          <w:sz w:val="24"/>
          <w:szCs w:val="24"/>
          <w:lang w:val="fr-FR"/>
        </w:rPr>
      </w:pPr>
    </w:p>
    <w:p w:rsidR="005B3FCD" w:rsidRPr="005B3FCD"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Assister le Coordonnateur de projet dans la planification annuelle des activités du Projet</w:t>
      </w:r>
      <w:r w:rsidR="000479C0">
        <w:rPr>
          <w:rFonts w:ascii="Times New Roman" w:eastAsia="Times New Roman" w:hAnsi="Times New Roman" w:cs="Times New Roman"/>
          <w:color w:val="333333"/>
          <w:sz w:val="24"/>
          <w:szCs w:val="24"/>
          <w:lang w:val="fr-FR"/>
        </w:rPr>
        <w:t> ;</w:t>
      </w:r>
    </w:p>
    <w:p w:rsidR="00707D9F" w:rsidRDefault="00707D9F" w:rsidP="005B3FCD">
      <w:pPr>
        <w:pStyle w:val="NoSpacing"/>
        <w:rPr>
          <w:rFonts w:ascii="Times New Roman" w:eastAsia="Times New Roman" w:hAnsi="Times New Roman" w:cs="Times New Roman"/>
          <w:color w:val="333333"/>
          <w:sz w:val="24"/>
          <w:szCs w:val="24"/>
          <w:lang w:val="fr-FR"/>
        </w:rPr>
      </w:pPr>
    </w:p>
    <w:p w:rsidR="00707D9F"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5B3FCD">
        <w:rPr>
          <w:rFonts w:ascii="Times New Roman" w:eastAsia="Times New Roman" w:hAnsi="Times New Roman" w:cs="Times New Roman"/>
          <w:color w:val="333333"/>
          <w:sz w:val="24"/>
          <w:szCs w:val="24"/>
          <w:lang w:val="fr-FR"/>
        </w:rPr>
        <w:t>Participer aux réunions de suivi avec le Coordonnateur de Projet.</w:t>
      </w:r>
    </w:p>
    <w:p w:rsidR="00707D9F" w:rsidRDefault="00707D9F" w:rsidP="00707D9F">
      <w:pPr>
        <w:pStyle w:val="NoSpacing"/>
        <w:rPr>
          <w:rFonts w:ascii="Times New Roman" w:eastAsia="Times New Roman" w:hAnsi="Times New Roman" w:cs="Times New Roman"/>
          <w:color w:val="333333"/>
          <w:sz w:val="24"/>
          <w:szCs w:val="24"/>
          <w:lang w:val="fr-FR"/>
        </w:rPr>
      </w:pPr>
    </w:p>
    <w:p w:rsidR="00EA0172" w:rsidRDefault="005B3FCD" w:rsidP="00707D9F">
      <w:pPr>
        <w:pStyle w:val="NoSpacing"/>
        <w:numPr>
          <w:ilvl w:val="0"/>
          <w:numId w:val="2"/>
        </w:numPr>
        <w:jc w:val="both"/>
        <w:rPr>
          <w:rFonts w:ascii="Times New Roman" w:eastAsia="Times New Roman" w:hAnsi="Times New Roman" w:cs="Times New Roman"/>
          <w:color w:val="333333"/>
          <w:sz w:val="24"/>
          <w:szCs w:val="24"/>
          <w:lang w:val="fr-FR"/>
        </w:rPr>
      </w:pPr>
      <w:r w:rsidRPr="00707D9F">
        <w:rPr>
          <w:rFonts w:ascii="Times New Roman" w:hAnsi="Times New Roman" w:cs="Times New Roman"/>
          <w:sz w:val="24"/>
          <w:szCs w:val="24"/>
          <w:lang w:val="fr-FR"/>
        </w:rPr>
        <w:t>Effectuer</w:t>
      </w:r>
      <w:r w:rsidRPr="005B3FCD">
        <w:rPr>
          <w:rFonts w:ascii="Times New Roman" w:eastAsia="Times New Roman" w:hAnsi="Times New Roman" w:cs="Times New Roman"/>
          <w:color w:val="333333"/>
          <w:sz w:val="24"/>
          <w:szCs w:val="24"/>
          <w:lang w:val="fr-FR"/>
        </w:rPr>
        <w:t xml:space="preserve"> toutes autres activités qui s'intègrent dans le cadre de la mission de I'UGP et de la DINEPA.</w:t>
      </w:r>
    </w:p>
    <w:p w:rsidR="00707D9F" w:rsidRPr="007E7713" w:rsidRDefault="00707D9F" w:rsidP="00707D9F">
      <w:pPr>
        <w:pStyle w:val="NoSpacing"/>
        <w:ind w:left="360"/>
        <w:jc w:val="both"/>
        <w:rPr>
          <w:rFonts w:ascii="Times New Roman" w:eastAsia="Times New Roman" w:hAnsi="Times New Roman" w:cs="Times New Roman"/>
          <w:color w:val="333333"/>
          <w:sz w:val="24"/>
          <w:szCs w:val="24"/>
          <w:lang w:val="fr-FR"/>
        </w:rPr>
      </w:pPr>
    </w:p>
    <w:p w:rsidR="00EA0172" w:rsidRDefault="00EA0172" w:rsidP="00EA0172">
      <w:pPr>
        <w:pStyle w:val="NoSpacing"/>
        <w:rPr>
          <w:rFonts w:ascii="Times New Roman" w:eastAsia="Times New Roman" w:hAnsi="Times New Roman" w:cs="Times New Roman"/>
          <w:color w:val="333333"/>
          <w:sz w:val="24"/>
          <w:szCs w:val="24"/>
          <w:lang w:val="fr-FR"/>
        </w:rPr>
      </w:pPr>
    </w:p>
    <w:p w:rsidR="00EA0172" w:rsidRPr="0071212B" w:rsidRDefault="00EA0172" w:rsidP="00EA0172">
      <w:pPr>
        <w:numPr>
          <w:ilvl w:val="0"/>
          <w:numId w:val="1"/>
        </w:numPr>
        <w:shd w:val="clear" w:color="auto" w:fill="FFFFFF"/>
        <w:spacing w:after="0" w:line="360" w:lineRule="auto"/>
        <w:ind w:left="0"/>
        <w:jc w:val="both"/>
        <w:rPr>
          <w:rFonts w:ascii="Times New Roman" w:eastAsia="Times New Roman" w:hAnsi="Times New Roman" w:cs="Times New Roman"/>
          <w:color w:val="333333"/>
          <w:sz w:val="24"/>
          <w:szCs w:val="24"/>
          <w:lang w:val="fr-FR"/>
        </w:rPr>
      </w:pPr>
      <w:r w:rsidRPr="0071212B">
        <w:rPr>
          <w:rFonts w:ascii="Times New Roman" w:eastAsia="Times New Roman" w:hAnsi="Times New Roman" w:cs="Times New Roman"/>
          <w:b/>
          <w:bCs/>
          <w:color w:val="333333"/>
          <w:sz w:val="24"/>
          <w:szCs w:val="24"/>
          <w:lang w:val="fr-FR"/>
        </w:rPr>
        <w:t>QUALIFICATIONS ET PROFI</w:t>
      </w:r>
      <w:r w:rsidR="000479C0">
        <w:rPr>
          <w:rFonts w:ascii="Times New Roman" w:eastAsia="Times New Roman" w:hAnsi="Times New Roman" w:cs="Times New Roman"/>
          <w:b/>
          <w:bCs/>
          <w:color w:val="333333"/>
          <w:sz w:val="24"/>
          <w:szCs w:val="24"/>
          <w:lang w:val="fr-FR"/>
        </w:rPr>
        <w:t>L</w:t>
      </w:r>
      <w:r w:rsidRPr="0071212B">
        <w:rPr>
          <w:rFonts w:ascii="Times New Roman" w:eastAsia="Times New Roman" w:hAnsi="Times New Roman" w:cs="Times New Roman"/>
          <w:b/>
          <w:bCs/>
          <w:color w:val="333333"/>
          <w:sz w:val="24"/>
          <w:szCs w:val="24"/>
          <w:lang w:val="fr-FR"/>
        </w:rPr>
        <w:t>:</w:t>
      </w:r>
      <w:r w:rsidRPr="0071212B">
        <w:rPr>
          <w:rFonts w:ascii="Times New Roman" w:eastAsia="Times New Roman" w:hAnsi="Times New Roman" w:cs="Times New Roman"/>
          <w:color w:val="333333"/>
          <w:sz w:val="24"/>
          <w:szCs w:val="24"/>
          <w:lang w:val="fr-FR"/>
        </w:rPr>
        <w:t> </w:t>
      </w:r>
    </w:p>
    <w:p w:rsidR="000479C0" w:rsidRPr="000479C0" w:rsidRDefault="000479C0" w:rsidP="000479C0">
      <w:pPr>
        <w:pStyle w:val="NoSpacing"/>
        <w:numPr>
          <w:ilvl w:val="0"/>
          <w:numId w:val="2"/>
        </w:numPr>
        <w:jc w:val="both"/>
        <w:rPr>
          <w:rFonts w:ascii="Times New Roman" w:hAnsi="Times New Roman" w:cs="Times New Roman"/>
          <w:sz w:val="24"/>
          <w:szCs w:val="24"/>
          <w:lang w:val="fr-FR"/>
        </w:rPr>
      </w:pPr>
      <w:r w:rsidRPr="000479C0">
        <w:rPr>
          <w:rFonts w:ascii="Times New Roman" w:hAnsi="Times New Roman" w:cs="Times New Roman"/>
          <w:sz w:val="24"/>
          <w:szCs w:val="24"/>
          <w:lang w:val="fr-FR"/>
        </w:rPr>
        <w:t>Formation universitaire en génie ;</w:t>
      </w:r>
      <w:r w:rsidR="00E93A75">
        <w:rPr>
          <w:rFonts w:ascii="Times New Roman" w:hAnsi="Times New Roman" w:cs="Times New Roman"/>
          <w:sz w:val="24"/>
          <w:szCs w:val="24"/>
          <w:lang w:val="fr-FR"/>
        </w:rPr>
        <w:t xml:space="preserve"> il doit être titulaire d’un diplôme en génie civil ou hydraulique, ou électromécanique ou en génie de l’environnement</w:t>
      </w:r>
      <w:r w:rsidR="009133E5">
        <w:rPr>
          <w:rFonts w:ascii="Times New Roman" w:hAnsi="Times New Roman" w:cs="Times New Roman"/>
          <w:sz w:val="24"/>
          <w:szCs w:val="24"/>
          <w:lang w:val="fr-FR"/>
        </w:rPr>
        <w:t>, ou en gestion ou suivi et évaluation de projet</w:t>
      </w:r>
    </w:p>
    <w:p w:rsidR="000479C0" w:rsidRDefault="000479C0" w:rsidP="000479C0">
      <w:pPr>
        <w:pStyle w:val="NoSpacing"/>
        <w:jc w:val="both"/>
        <w:rPr>
          <w:rFonts w:ascii="Times New Roman" w:hAnsi="Times New Roman" w:cs="Times New Roman"/>
          <w:sz w:val="24"/>
          <w:szCs w:val="24"/>
          <w:lang w:val="fr-FR"/>
        </w:rPr>
      </w:pPr>
    </w:p>
    <w:p w:rsidR="000479C0" w:rsidRPr="000479C0" w:rsidRDefault="000479C0" w:rsidP="000479C0">
      <w:pPr>
        <w:pStyle w:val="NoSpacing"/>
        <w:numPr>
          <w:ilvl w:val="0"/>
          <w:numId w:val="2"/>
        </w:numPr>
        <w:jc w:val="both"/>
        <w:rPr>
          <w:rFonts w:ascii="Times New Roman" w:hAnsi="Times New Roman" w:cs="Times New Roman"/>
          <w:sz w:val="24"/>
          <w:szCs w:val="24"/>
          <w:lang w:val="fr-FR"/>
        </w:rPr>
      </w:pPr>
      <w:r w:rsidRPr="000479C0">
        <w:rPr>
          <w:rFonts w:ascii="Times New Roman" w:hAnsi="Times New Roman" w:cs="Times New Roman"/>
          <w:sz w:val="24"/>
          <w:szCs w:val="24"/>
          <w:lang w:val="fr-FR"/>
        </w:rPr>
        <w:t xml:space="preserve">Expérience pratique du suivi et de l'évaluation des projets financés au niveau </w:t>
      </w:r>
      <w:r w:rsidR="00117394" w:rsidRPr="000479C0">
        <w:rPr>
          <w:rFonts w:ascii="Times New Roman" w:hAnsi="Times New Roman" w:cs="Times New Roman"/>
          <w:sz w:val="24"/>
          <w:szCs w:val="24"/>
          <w:lang w:val="fr-FR"/>
        </w:rPr>
        <w:t>international</w:t>
      </w:r>
      <w:r w:rsidR="00117394">
        <w:rPr>
          <w:rFonts w:ascii="Times New Roman" w:hAnsi="Times New Roman" w:cs="Times New Roman"/>
          <w:sz w:val="24"/>
          <w:szCs w:val="24"/>
          <w:lang w:val="fr-FR"/>
        </w:rPr>
        <w:t> ;</w:t>
      </w:r>
    </w:p>
    <w:p w:rsidR="000479C0" w:rsidRDefault="000479C0" w:rsidP="000479C0">
      <w:pPr>
        <w:pStyle w:val="NoSpacing"/>
        <w:jc w:val="both"/>
        <w:rPr>
          <w:rFonts w:ascii="Times New Roman" w:hAnsi="Times New Roman" w:cs="Times New Roman"/>
          <w:sz w:val="24"/>
          <w:szCs w:val="24"/>
          <w:lang w:val="fr-FR"/>
        </w:rPr>
      </w:pPr>
    </w:p>
    <w:p w:rsidR="00117394" w:rsidRDefault="00117394" w:rsidP="00117394">
      <w:pPr>
        <w:pStyle w:val="NoSpacing"/>
        <w:numPr>
          <w:ilvl w:val="0"/>
          <w:numId w:val="2"/>
        </w:numPr>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Huit (8) d’expérience générale dans le domaine de la construction, de la supervision ou de la gestion des travaux ou projets </w:t>
      </w:r>
      <w:r w:rsidR="009133E5">
        <w:rPr>
          <w:rFonts w:ascii="Times New Roman" w:hAnsi="Times New Roman" w:cs="Times New Roman"/>
          <w:sz w:val="24"/>
          <w:szCs w:val="24"/>
          <w:lang w:val="fr-FR"/>
        </w:rPr>
        <w:t xml:space="preserve">de génie et/ou </w:t>
      </w:r>
      <w:r>
        <w:rPr>
          <w:rFonts w:ascii="Times New Roman" w:hAnsi="Times New Roman" w:cs="Times New Roman"/>
          <w:sz w:val="24"/>
          <w:szCs w:val="24"/>
          <w:lang w:val="fr-FR"/>
        </w:rPr>
        <w:t>d’eau potable et d’assainissement</w:t>
      </w:r>
    </w:p>
    <w:p w:rsidR="00117394" w:rsidRDefault="00117394" w:rsidP="00117394">
      <w:pPr>
        <w:pStyle w:val="NoSpacing"/>
        <w:jc w:val="both"/>
        <w:rPr>
          <w:rFonts w:ascii="Times New Roman" w:hAnsi="Times New Roman" w:cs="Times New Roman"/>
          <w:sz w:val="24"/>
          <w:szCs w:val="24"/>
          <w:lang w:val="fr-FR"/>
        </w:rPr>
      </w:pPr>
    </w:p>
    <w:p w:rsidR="000479C0" w:rsidRPr="00117394" w:rsidRDefault="000479C0" w:rsidP="00117394">
      <w:pPr>
        <w:pStyle w:val="NoSpacing"/>
        <w:numPr>
          <w:ilvl w:val="0"/>
          <w:numId w:val="2"/>
        </w:numPr>
        <w:jc w:val="both"/>
        <w:rPr>
          <w:rFonts w:ascii="Times New Roman" w:hAnsi="Times New Roman" w:cs="Times New Roman"/>
          <w:sz w:val="24"/>
          <w:szCs w:val="24"/>
          <w:lang w:val="fr-FR"/>
        </w:rPr>
      </w:pPr>
      <w:r w:rsidRPr="000479C0">
        <w:rPr>
          <w:rFonts w:ascii="Times New Roman" w:hAnsi="Times New Roman" w:cs="Times New Roman"/>
          <w:sz w:val="24"/>
          <w:szCs w:val="24"/>
          <w:lang w:val="fr-FR"/>
        </w:rPr>
        <w:t xml:space="preserve">Cinq (5) ans d'expérience minimum dans le domaine de la conduite </w:t>
      </w:r>
      <w:r w:rsidR="009133E5">
        <w:rPr>
          <w:rFonts w:ascii="Times New Roman" w:hAnsi="Times New Roman" w:cs="Times New Roman"/>
          <w:sz w:val="24"/>
          <w:szCs w:val="24"/>
          <w:lang w:val="fr-FR"/>
        </w:rPr>
        <w:t xml:space="preserve">et du suivi et de l’évaluation </w:t>
      </w:r>
      <w:r w:rsidRPr="000479C0">
        <w:rPr>
          <w:rFonts w:ascii="Times New Roman" w:hAnsi="Times New Roman" w:cs="Times New Roman"/>
          <w:sz w:val="24"/>
          <w:szCs w:val="24"/>
          <w:lang w:val="fr-FR"/>
        </w:rPr>
        <w:t>des projets en milieu rural et ou urbain ;</w:t>
      </w:r>
    </w:p>
    <w:p w:rsidR="000479C0" w:rsidRDefault="000479C0" w:rsidP="000479C0">
      <w:pPr>
        <w:pStyle w:val="NoSpacing"/>
        <w:jc w:val="both"/>
        <w:rPr>
          <w:rFonts w:ascii="Times New Roman" w:hAnsi="Times New Roman" w:cs="Times New Roman"/>
          <w:sz w:val="24"/>
          <w:szCs w:val="24"/>
          <w:lang w:val="fr-FR"/>
        </w:rPr>
      </w:pPr>
    </w:p>
    <w:p w:rsidR="000479C0" w:rsidRPr="000479C0" w:rsidRDefault="000479C0" w:rsidP="000479C0">
      <w:pPr>
        <w:pStyle w:val="NoSpacing"/>
        <w:numPr>
          <w:ilvl w:val="0"/>
          <w:numId w:val="2"/>
        </w:numPr>
        <w:jc w:val="both"/>
        <w:rPr>
          <w:rFonts w:ascii="Times New Roman" w:hAnsi="Times New Roman" w:cs="Times New Roman"/>
          <w:sz w:val="24"/>
          <w:szCs w:val="24"/>
          <w:lang w:val="fr-FR"/>
        </w:rPr>
      </w:pPr>
      <w:r w:rsidRPr="000479C0">
        <w:rPr>
          <w:rFonts w:ascii="Times New Roman" w:hAnsi="Times New Roman" w:cs="Times New Roman"/>
          <w:sz w:val="24"/>
          <w:szCs w:val="24"/>
          <w:lang w:val="fr-FR"/>
        </w:rPr>
        <w:lastRenderedPageBreak/>
        <w:t>Bonne connaissance du référentiel technique EPA, un atout ;</w:t>
      </w:r>
    </w:p>
    <w:p w:rsidR="000479C0" w:rsidRDefault="000479C0" w:rsidP="000479C0">
      <w:pPr>
        <w:pStyle w:val="NoSpacing"/>
        <w:jc w:val="both"/>
        <w:rPr>
          <w:rFonts w:ascii="Times New Roman" w:hAnsi="Times New Roman" w:cs="Times New Roman"/>
          <w:sz w:val="24"/>
          <w:szCs w:val="24"/>
          <w:lang w:val="fr-FR"/>
        </w:rPr>
      </w:pPr>
    </w:p>
    <w:p w:rsidR="000479C0" w:rsidRPr="000479C0" w:rsidRDefault="000479C0" w:rsidP="00297D13">
      <w:pPr>
        <w:pStyle w:val="NoSpacing"/>
        <w:numPr>
          <w:ilvl w:val="0"/>
          <w:numId w:val="2"/>
        </w:numPr>
        <w:jc w:val="both"/>
        <w:rPr>
          <w:rFonts w:ascii="Times New Roman" w:hAnsi="Times New Roman" w:cs="Times New Roman"/>
          <w:sz w:val="24"/>
          <w:szCs w:val="24"/>
          <w:lang w:val="fr-FR"/>
        </w:rPr>
      </w:pPr>
      <w:r w:rsidRPr="000479C0">
        <w:rPr>
          <w:rFonts w:ascii="Times New Roman" w:hAnsi="Times New Roman" w:cs="Times New Roman"/>
          <w:sz w:val="24"/>
          <w:szCs w:val="24"/>
          <w:lang w:val="fr-FR"/>
        </w:rPr>
        <w:t>Expérience pratique pertinente dans la mise en œuvre de projets d'approvisionnement en eau et de traitement des eaux usées ;</w:t>
      </w:r>
    </w:p>
    <w:p w:rsidR="000479C0" w:rsidRDefault="000479C0" w:rsidP="000479C0">
      <w:pPr>
        <w:pStyle w:val="NoSpacing"/>
        <w:jc w:val="both"/>
        <w:rPr>
          <w:rFonts w:ascii="Times New Roman" w:hAnsi="Times New Roman" w:cs="Times New Roman"/>
          <w:sz w:val="24"/>
          <w:szCs w:val="24"/>
          <w:lang w:val="fr-FR"/>
        </w:rPr>
      </w:pPr>
    </w:p>
    <w:p w:rsidR="000479C0" w:rsidRPr="000479C0" w:rsidRDefault="000479C0" w:rsidP="00297D13">
      <w:pPr>
        <w:pStyle w:val="NoSpacing"/>
        <w:numPr>
          <w:ilvl w:val="0"/>
          <w:numId w:val="2"/>
        </w:numPr>
        <w:jc w:val="both"/>
        <w:rPr>
          <w:rFonts w:ascii="Times New Roman" w:hAnsi="Times New Roman" w:cs="Times New Roman"/>
          <w:sz w:val="24"/>
          <w:szCs w:val="24"/>
          <w:lang w:val="fr-FR"/>
        </w:rPr>
      </w:pPr>
      <w:r w:rsidRPr="000479C0">
        <w:rPr>
          <w:rFonts w:ascii="Times New Roman" w:hAnsi="Times New Roman" w:cs="Times New Roman"/>
          <w:sz w:val="24"/>
          <w:szCs w:val="24"/>
          <w:lang w:val="fr-FR"/>
        </w:rPr>
        <w:t>Expérience pratique avérée dans la gestion de contrats sur des travaux de construction, en mettant l'accent sur les projets liés à l'eau ;</w:t>
      </w:r>
    </w:p>
    <w:p w:rsidR="000479C0" w:rsidRDefault="000479C0" w:rsidP="000479C0">
      <w:pPr>
        <w:pStyle w:val="NoSpacing"/>
        <w:jc w:val="both"/>
        <w:rPr>
          <w:rFonts w:ascii="Times New Roman" w:hAnsi="Times New Roman" w:cs="Times New Roman"/>
          <w:sz w:val="24"/>
          <w:szCs w:val="24"/>
          <w:lang w:val="fr-FR"/>
        </w:rPr>
      </w:pPr>
    </w:p>
    <w:p w:rsidR="000479C0" w:rsidRPr="000479C0" w:rsidRDefault="000479C0" w:rsidP="00297D13">
      <w:pPr>
        <w:pStyle w:val="NoSpacing"/>
        <w:numPr>
          <w:ilvl w:val="0"/>
          <w:numId w:val="2"/>
        </w:numPr>
        <w:jc w:val="both"/>
        <w:rPr>
          <w:rFonts w:ascii="Times New Roman" w:hAnsi="Times New Roman" w:cs="Times New Roman"/>
          <w:sz w:val="24"/>
          <w:szCs w:val="24"/>
          <w:lang w:val="fr-FR"/>
        </w:rPr>
      </w:pPr>
      <w:r w:rsidRPr="000479C0">
        <w:rPr>
          <w:rFonts w:ascii="Times New Roman" w:hAnsi="Times New Roman" w:cs="Times New Roman"/>
          <w:sz w:val="24"/>
          <w:szCs w:val="24"/>
          <w:lang w:val="fr-FR"/>
        </w:rPr>
        <w:t xml:space="preserve">Bonne connaissance des exigences et des procédures de surveillance et d'évaluation de la Banque mondiale ; une expérience de travail avec </w:t>
      </w:r>
      <w:r>
        <w:rPr>
          <w:rFonts w:ascii="Times New Roman" w:hAnsi="Times New Roman" w:cs="Times New Roman"/>
          <w:sz w:val="24"/>
          <w:szCs w:val="24"/>
          <w:lang w:val="fr-FR"/>
        </w:rPr>
        <w:t xml:space="preserve">la </w:t>
      </w:r>
      <w:r w:rsidRPr="000479C0">
        <w:rPr>
          <w:rFonts w:ascii="Times New Roman" w:hAnsi="Times New Roman" w:cs="Times New Roman"/>
          <w:sz w:val="24"/>
          <w:szCs w:val="24"/>
          <w:lang w:val="fr-FR"/>
        </w:rPr>
        <w:t>B</w:t>
      </w:r>
      <w:r>
        <w:rPr>
          <w:rFonts w:ascii="Times New Roman" w:hAnsi="Times New Roman" w:cs="Times New Roman"/>
          <w:sz w:val="24"/>
          <w:szCs w:val="24"/>
          <w:lang w:val="fr-FR"/>
        </w:rPr>
        <w:t>M</w:t>
      </w:r>
      <w:r w:rsidRPr="000479C0">
        <w:rPr>
          <w:rFonts w:ascii="Times New Roman" w:hAnsi="Times New Roman" w:cs="Times New Roman"/>
          <w:sz w:val="24"/>
          <w:szCs w:val="24"/>
          <w:lang w:val="fr-FR"/>
        </w:rPr>
        <w:t xml:space="preserve"> est un plus.</w:t>
      </w:r>
    </w:p>
    <w:p w:rsidR="000479C0" w:rsidRDefault="000479C0" w:rsidP="000479C0">
      <w:pPr>
        <w:pStyle w:val="NoSpacing"/>
        <w:jc w:val="both"/>
        <w:rPr>
          <w:rFonts w:ascii="Times New Roman" w:hAnsi="Times New Roman" w:cs="Times New Roman"/>
          <w:sz w:val="24"/>
          <w:szCs w:val="24"/>
          <w:lang w:val="fr-FR"/>
        </w:rPr>
      </w:pPr>
    </w:p>
    <w:p w:rsidR="000479C0" w:rsidRPr="000479C0" w:rsidRDefault="000479C0" w:rsidP="00297D13">
      <w:pPr>
        <w:pStyle w:val="NoSpacing"/>
        <w:numPr>
          <w:ilvl w:val="0"/>
          <w:numId w:val="2"/>
        </w:numPr>
        <w:jc w:val="both"/>
        <w:rPr>
          <w:rFonts w:ascii="Times New Roman" w:hAnsi="Times New Roman" w:cs="Times New Roman"/>
          <w:sz w:val="24"/>
          <w:szCs w:val="24"/>
          <w:lang w:val="fr-FR"/>
        </w:rPr>
      </w:pPr>
      <w:r w:rsidRPr="000479C0">
        <w:rPr>
          <w:rFonts w:ascii="Times New Roman" w:hAnsi="Times New Roman" w:cs="Times New Roman"/>
          <w:sz w:val="24"/>
          <w:szCs w:val="24"/>
          <w:lang w:val="fr-FR"/>
        </w:rPr>
        <w:t>Expérience pertinente de la production de rapports institutionnels</w:t>
      </w:r>
    </w:p>
    <w:p w:rsidR="000479C0" w:rsidRDefault="000479C0" w:rsidP="000479C0">
      <w:pPr>
        <w:pStyle w:val="NoSpacing"/>
        <w:jc w:val="both"/>
        <w:rPr>
          <w:rFonts w:ascii="Times New Roman" w:hAnsi="Times New Roman" w:cs="Times New Roman"/>
          <w:sz w:val="24"/>
          <w:szCs w:val="24"/>
          <w:lang w:val="fr-FR"/>
        </w:rPr>
      </w:pPr>
    </w:p>
    <w:p w:rsidR="000479C0" w:rsidRPr="000479C0" w:rsidRDefault="000479C0" w:rsidP="00297D13">
      <w:pPr>
        <w:pStyle w:val="NoSpacing"/>
        <w:numPr>
          <w:ilvl w:val="0"/>
          <w:numId w:val="2"/>
        </w:numPr>
        <w:jc w:val="both"/>
        <w:rPr>
          <w:rFonts w:ascii="Times New Roman" w:hAnsi="Times New Roman" w:cs="Times New Roman"/>
          <w:sz w:val="24"/>
          <w:szCs w:val="24"/>
          <w:lang w:val="fr-FR"/>
        </w:rPr>
      </w:pPr>
      <w:r w:rsidRPr="000479C0">
        <w:rPr>
          <w:rFonts w:ascii="Times New Roman" w:hAnsi="Times New Roman" w:cs="Times New Roman"/>
          <w:sz w:val="24"/>
          <w:szCs w:val="24"/>
          <w:lang w:val="fr-FR"/>
        </w:rPr>
        <w:t>Bonne capacité à communiquer avec des personnes d'horizons et de postes différents, ainsi qu'avec les autorités locales et nationales ;</w:t>
      </w:r>
    </w:p>
    <w:p w:rsidR="000479C0" w:rsidRDefault="000479C0" w:rsidP="000479C0">
      <w:pPr>
        <w:pStyle w:val="NoSpacing"/>
        <w:jc w:val="both"/>
        <w:rPr>
          <w:rFonts w:ascii="Times New Roman" w:hAnsi="Times New Roman" w:cs="Times New Roman"/>
          <w:sz w:val="24"/>
          <w:szCs w:val="24"/>
          <w:lang w:val="fr-FR"/>
        </w:rPr>
      </w:pPr>
    </w:p>
    <w:p w:rsidR="000479C0" w:rsidRPr="000479C0" w:rsidRDefault="000479C0" w:rsidP="00297D13">
      <w:pPr>
        <w:pStyle w:val="NoSpacing"/>
        <w:numPr>
          <w:ilvl w:val="0"/>
          <w:numId w:val="2"/>
        </w:numPr>
        <w:jc w:val="both"/>
        <w:rPr>
          <w:rFonts w:ascii="Times New Roman" w:hAnsi="Times New Roman" w:cs="Times New Roman"/>
          <w:sz w:val="24"/>
          <w:szCs w:val="24"/>
          <w:lang w:val="fr-FR"/>
        </w:rPr>
      </w:pPr>
      <w:r w:rsidRPr="000479C0">
        <w:rPr>
          <w:rFonts w:ascii="Times New Roman" w:hAnsi="Times New Roman" w:cs="Times New Roman"/>
          <w:sz w:val="24"/>
          <w:szCs w:val="24"/>
          <w:lang w:val="fr-FR"/>
        </w:rPr>
        <w:t>Doit écrire / parler / lire bien le français</w:t>
      </w:r>
    </w:p>
    <w:p w:rsidR="00EA0172" w:rsidRDefault="00EA0172" w:rsidP="00EA0172">
      <w:pPr>
        <w:pStyle w:val="NoSpacing"/>
        <w:jc w:val="both"/>
        <w:rPr>
          <w:rFonts w:ascii="Times New Roman" w:hAnsi="Times New Roman" w:cs="Times New Roman"/>
          <w:sz w:val="24"/>
          <w:szCs w:val="24"/>
          <w:lang w:val="fr-FR"/>
        </w:rPr>
      </w:pPr>
    </w:p>
    <w:p w:rsidR="00EA0172" w:rsidRPr="0032509C" w:rsidRDefault="00EA0172" w:rsidP="00EA0172">
      <w:pPr>
        <w:pStyle w:val="NoSpacing"/>
        <w:rPr>
          <w:rFonts w:ascii="Times New Roman" w:hAnsi="Times New Roman" w:cs="Times New Roman"/>
          <w:sz w:val="24"/>
          <w:szCs w:val="24"/>
          <w:lang w:val="fr-FR"/>
        </w:rPr>
      </w:pPr>
    </w:p>
    <w:p w:rsidR="00EA0172" w:rsidRPr="002F334F" w:rsidRDefault="00EA0172" w:rsidP="00EA0172">
      <w:pPr>
        <w:numPr>
          <w:ilvl w:val="0"/>
          <w:numId w:val="1"/>
        </w:numPr>
        <w:shd w:val="clear" w:color="auto" w:fill="FFFFFF"/>
        <w:spacing w:after="0" w:line="360" w:lineRule="auto"/>
        <w:ind w:left="0"/>
        <w:jc w:val="both"/>
        <w:rPr>
          <w:rFonts w:ascii="Times New Roman" w:eastAsia="Times New Roman" w:hAnsi="Times New Roman" w:cs="Times New Roman"/>
          <w:color w:val="333333"/>
          <w:sz w:val="24"/>
          <w:szCs w:val="24"/>
          <w:lang w:val="fr-FR"/>
        </w:rPr>
      </w:pPr>
      <w:r w:rsidRPr="002F334F">
        <w:rPr>
          <w:rFonts w:ascii="Times New Roman" w:eastAsia="Times New Roman" w:hAnsi="Times New Roman" w:cs="Times New Roman"/>
          <w:b/>
          <w:bCs/>
          <w:color w:val="333333"/>
          <w:sz w:val="24"/>
          <w:szCs w:val="24"/>
          <w:lang w:val="fr-FR"/>
        </w:rPr>
        <w:t>DURÉE ET TYPE DE CONTRAT</w:t>
      </w:r>
    </w:p>
    <w:p w:rsidR="00EA0172" w:rsidRDefault="00EA0172" w:rsidP="00EA0172">
      <w:pPr>
        <w:pStyle w:val="NoSpacing"/>
        <w:jc w:val="both"/>
        <w:rPr>
          <w:rFonts w:ascii="Times New Roman" w:hAnsi="Times New Roman" w:cs="Times New Roman"/>
          <w:sz w:val="24"/>
          <w:szCs w:val="24"/>
          <w:lang w:val="fr-FR"/>
        </w:rPr>
      </w:pPr>
    </w:p>
    <w:p w:rsidR="00297D13" w:rsidRPr="000769E4" w:rsidRDefault="00297D13" w:rsidP="000769E4">
      <w:pPr>
        <w:pStyle w:val="NoSpacing"/>
        <w:jc w:val="both"/>
        <w:rPr>
          <w:rFonts w:ascii="Times New Roman" w:hAnsi="Times New Roman" w:cs="Times New Roman"/>
          <w:sz w:val="24"/>
          <w:szCs w:val="24"/>
          <w:lang w:val="fr-FR" w:eastAsia="es-MX"/>
        </w:rPr>
      </w:pPr>
      <w:r w:rsidRPr="000769E4">
        <w:rPr>
          <w:rFonts w:ascii="Times New Roman" w:hAnsi="Times New Roman" w:cs="Times New Roman"/>
          <w:sz w:val="24"/>
          <w:szCs w:val="24"/>
          <w:lang w:val="fr-FR" w:eastAsia="es-MX"/>
        </w:rPr>
        <w:t>L'embauche du consultant individuel sera effectuée pour une période de neuf (9) mois du 1</w:t>
      </w:r>
      <w:r w:rsidRPr="000769E4">
        <w:rPr>
          <w:rFonts w:ascii="Times New Roman" w:hAnsi="Times New Roman" w:cs="Times New Roman"/>
          <w:sz w:val="24"/>
          <w:szCs w:val="24"/>
          <w:vertAlign w:val="superscript"/>
          <w:lang w:val="fr-FR" w:eastAsia="es-MX"/>
        </w:rPr>
        <w:t xml:space="preserve">er </w:t>
      </w:r>
      <w:r w:rsidRPr="000769E4">
        <w:rPr>
          <w:rFonts w:ascii="Times New Roman" w:hAnsi="Times New Roman" w:cs="Times New Roman"/>
          <w:sz w:val="24"/>
          <w:szCs w:val="24"/>
          <w:lang w:val="fr-FR" w:eastAsia="es-MX"/>
        </w:rPr>
        <w:t>janvier au 30 septembre 2025, qui peut être renouvelée chaque année après évaluation effectuée en tenant compte de la bonne exécution de leurs fonctions, la demande de réembauche doit être faite par le coordinateur de projet devant la Banque mondiale pour avis de non-objection, un mois avant la fin de leur contrat. Le contrat sera à temps plein, et compatibles avec les activités de l'unité de mise en œuvre du projet. Le coordonnateur doit donner un préavis cohérent de son intérêt à réembaucher.</w:t>
      </w:r>
    </w:p>
    <w:p w:rsidR="00180F87" w:rsidRDefault="00180F87" w:rsidP="000769E4">
      <w:pPr>
        <w:pStyle w:val="NoSpacing"/>
        <w:jc w:val="both"/>
        <w:rPr>
          <w:rFonts w:ascii="Times New Roman" w:hAnsi="Times New Roman" w:cs="Times New Roman"/>
          <w:sz w:val="24"/>
          <w:szCs w:val="24"/>
          <w:lang w:val="fr-FR" w:eastAsia="es-MX"/>
        </w:rPr>
      </w:pPr>
    </w:p>
    <w:p w:rsidR="00297D13" w:rsidRPr="000769E4" w:rsidRDefault="00297D13" w:rsidP="000769E4">
      <w:pPr>
        <w:pStyle w:val="NoSpacing"/>
        <w:jc w:val="both"/>
        <w:rPr>
          <w:rFonts w:ascii="Times New Roman" w:hAnsi="Times New Roman" w:cs="Times New Roman"/>
          <w:sz w:val="24"/>
          <w:szCs w:val="24"/>
          <w:lang w:val="fr-FR" w:eastAsia="es-MX"/>
        </w:rPr>
      </w:pPr>
      <w:r w:rsidRPr="000769E4">
        <w:rPr>
          <w:rFonts w:ascii="Times New Roman" w:hAnsi="Times New Roman" w:cs="Times New Roman"/>
          <w:sz w:val="24"/>
          <w:szCs w:val="24"/>
          <w:lang w:val="fr-FR" w:eastAsia="es-MX"/>
        </w:rPr>
        <w:t>Le spécialiste aura droit aux frais de voyage, à condition que, dans le cadre de ses fonctions, il se déplace en dehors de la capitale où I'UGP est établie.</w:t>
      </w:r>
    </w:p>
    <w:p w:rsidR="00180F87" w:rsidRDefault="00180F87" w:rsidP="000769E4">
      <w:pPr>
        <w:pStyle w:val="NoSpacing"/>
        <w:jc w:val="both"/>
        <w:rPr>
          <w:rFonts w:ascii="Times New Roman" w:hAnsi="Times New Roman" w:cs="Times New Roman"/>
          <w:sz w:val="24"/>
          <w:szCs w:val="24"/>
          <w:lang w:val="fr-FR" w:eastAsia="es-MX"/>
        </w:rPr>
      </w:pPr>
    </w:p>
    <w:p w:rsidR="00297D13" w:rsidRDefault="00297D13" w:rsidP="000769E4">
      <w:pPr>
        <w:pStyle w:val="NoSpacing"/>
        <w:jc w:val="both"/>
        <w:rPr>
          <w:lang w:val="fr-FR" w:eastAsia="es-MX"/>
        </w:rPr>
      </w:pPr>
      <w:r w:rsidRPr="000769E4">
        <w:rPr>
          <w:rFonts w:ascii="Times New Roman" w:hAnsi="Times New Roman" w:cs="Times New Roman"/>
          <w:sz w:val="24"/>
          <w:szCs w:val="24"/>
          <w:lang w:val="fr-FR" w:eastAsia="es-MX"/>
        </w:rPr>
        <w:t>Les paiements seront exécutés par virement bancaire sur un compte bancaire indiqué par le consultant sous contra</w:t>
      </w:r>
      <w:r w:rsidRPr="00297D13">
        <w:rPr>
          <w:lang w:val="fr-FR" w:eastAsia="es-MX"/>
        </w:rPr>
        <w:t>t.</w:t>
      </w:r>
    </w:p>
    <w:p w:rsidR="00180F87" w:rsidRPr="00297D13" w:rsidRDefault="00180F87" w:rsidP="000769E4">
      <w:pPr>
        <w:pStyle w:val="NoSpacing"/>
        <w:jc w:val="both"/>
        <w:rPr>
          <w:lang w:val="fr-FR" w:eastAsia="es-MX"/>
        </w:rPr>
      </w:pPr>
    </w:p>
    <w:p w:rsidR="00EA0172" w:rsidRPr="003021A3" w:rsidRDefault="00EA0172" w:rsidP="00EA0172">
      <w:pPr>
        <w:pStyle w:val="NoSpacing"/>
        <w:jc w:val="both"/>
        <w:rPr>
          <w:lang w:val="fr-FR"/>
        </w:rPr>
      </w:pPr>
    </w:p>
    <w:p w:rsidR="00EA0172" w:rsidRPr="00017172" w:rsidRDefault="00EA0172" w:rsidP="00EA0172">
      <w:pPr>
        <w:numPr>
          <w:ilvl w:val="0"/>
          <w:numId w:val="1"/>
        </w:numPr>
        <w:shd w:val="clear" w:color="auto" w:fill="FFFFFF"/>
        <w:spacing w:after="0" w:line="360" w:lineRule="auto"/>
        <w:ind w:left="0"/>
        <w:jc w:val="both"/>
        <w:rPr>
          <w:rFonts w:ascii="Times New Roman" w:eastAsia="Times New Roman" w:hAnsi="Times New Roman" w:cs="Times New Roman"/>
          <w:color w:val="333333"/>
          <w:sz w:val="24"/>
          <w:szCs w:val="24"/>
        </w:rPr>
      </w:pPr>
      <w:r w:rsidRPr="00017172">
        <w:rPr>
          <w:rFonts w:ascii="Times New Roman" w:eastAsia="Times New Roman" w:hAnsi="Times New Roman" w:cs="Times New Roman"/>
          <w:b/>
          <w:bCs/>
          <w:color w:val="333333"/>
          <w:sz w:val="24"/>
          <w:szCs w:val="24"/>
        </w:rPr>
        <w:t>LIEU DE TRAVAIL</w:t>
      </w:r>
    </w:p>
    <w:p w:rsidR="00017172" w:rsidRDefault="00297D13" w:rsidP="000769E4">
      <w:pPr>
        <w:spacing w:after="4"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 xml:space="preserve">Le consultant développera ses principales activités dans les dépendances de I'UGP située au siège de la DINEPAPétion-Ville, </w:t>
      </w:r>
      <w:r w:rsidR="000769E4" w:rsidRPr="00297D13">
        <w:rPr>
          <w:rFonts w:ascii="Times New Roman" w:eastAsia="Calibri" w:hAnsi="Times New Roman" w:cs="Times New Roman"/>
          <w:color w:val="000000"/>
          <w:sz w:val="24"/>
          <w:szCs w:val="24"/>
          <w:lang w:val="fr-FR" w:eastAsia="es-MX"/>
        </w:rPr>
        <w:t>Haïti</w:t>
      </w:r>
      <w:r w:rsidRPr="00297D13">
        <w:rPr>
          <w:rFonts w:ascii="Times New Roman" w:eastAsia="Calibri" w:hAnsi="Times New Roman" w:cs="Times New Roman"/>
          <w:color w:val="000000"/>
          <w:sz w:val="24"/>
          <w:szCs w:val="24"/>
          <w:lang w:val="fr-FR" w:eastAsia="es-MX"/>
        </w:rPr>
        <w:t>. Le contractant fournira à celui-ci un espace de travail adéquat, il disposera également du mobilier, du matériel informatique et des fournitures nécessaires pour développer de manière efficace et en temps opportun les activités prévues dans le contrat.</w:t>
      </w:r>
    </w:p>
    <w:p w:rsidR="000769E4" w:rsidRPr="00017172" w:rsidRDefault="000769E4" w:rsidP="000769E4">
      <w:pPr>
        <w:spacing w:after="4" w:line="255" w:lineRule="auto"/>
        <w:ind w:left="42" w:right="14" w:firstLine="4"/>
        <w:jc w:val="both"/>
        <w:rPr>
          <w:rFonts w:ascii="Times New Roman" w:eastAsia="Calibri" w:hAnsi="Times New Roman" w:cs="Times New Roman"/>
          <w:color w:val="000000"/>
          <w:sz w:val="24"/>
          <w:szCs w:val="24"/>
          <w:lang w:val="fr-FR" w:eastAsia="es-MX"/>
        </w:rPr>
      </w:pPr>
    </w:p>
    <w:p w:rsidR="00297D13" w:rsidRPr="000769E4" w:rsidRDefault="00297D13" w:rsidP="00017172">
      <w:pPr>
        <w:numPr>
          <w:ilvl w:val="0"/>
          <w:numId w:val="1"/>
        </w:numPr>
        <w:shd w:val="clear" w:color="auto" w:fill="FFFFFF"/>
        <w:spacing w:after="0" w:line="360" w:lineRule="auto"/>
        <w:ind w:left="0"/>
        <w:jc w:val="both"/>
        <w:rPr>
          <w:rFonts w:ascii="Times New Roman" w:eastAsia="Calibri" w:hAnsi="Times New Roman" w:cs="Times New Roman"/>
          <w:b/>
          <w:bCs/>
          <w:color w:val="000000"/>
          <w:sz w:val="24"/>
          <w:szCs w:val="24"/>
          <w:lang w:val="fr-FR" w:eastAsia="es-MX"/>
        </w:rPr>
      </w:pPr>
      <w:r w:rsidRPr="000769E4">
        <w:rPr>
          <w:rFonts w:ascii="Times New Roman" w:eastAsia="Calibri" w:hAnsi="Times New Roman" w:cs="Times New Roman"/>
          <w:b/>
          <w:bCs/>
          <w:color w:val="000000"/>
          <w:sz w:val="24"/>
          <w:szCs w:val="24"/>
          <w:lang w:eastAsia="es-MX"/>
        </w:rPr>
        <w:t>COORDINATION ET SUPERVISION</w:t>
      </w:r>
    </w:p>
    <w:p w:rsidR="00297D13" w:rsidRPr="000769E4" w:rsidRDefault="00297D13" w:rsidP="000769E4">
      <w:pPr>
        <w:pStyle w:val="NoSpacing"/>
        <w:jc w:val="both"/>
        <w:rPr>
          <w:rFonts w:ascii="Times New Roman" w:hAnsi="Times New Roman" w:cs="Times New Roman"/>
          <w:sz w:val="24"/>
          <w:szCs w:val="24"/>
          <w:lang w:val="fr-FR" w:eastAsia="es-MX"/>
        </w:rPr>
      </w:pPr>
      <w:r w:rsidRPr="000769E4">
        <w:rPr>
          <w:rFonts w:ascii="Times New Roman" w:hAnsi="Times New Roman" w:cs="Times New Roman"/>
          <w:sz w:val="24"/>
          <w:szCs w:val="24"/>
          <w:lang w:val="fr-FR" w:eastAsia="es-MX"/>
        </w:rPr>
        <w:lastRenderedPageBreak/>
        <w:t>Le consultant individuel travaillera sous la tutelle du coordinateur du projet et collabora avec les cadres techniques de la DINEPA et des OREPA. Le coordinateur du projet sera chargé de superviser la réalisation des activités du consultant établi dans les présents TDR et en coordination avec les domaines techniques correspondants qui assurent la bonne exécution de leurs fonctions</w:t>
      </w:r>
    </w:p>
    <w:p w:rsidR="00C774E2" w:rsidRPr="00297D13" w:rsidRDefault="00C774E2" w:rsidP="000769E4">
      <w:pPr>
        <w:pStyle w:val="NoSpacing"/>
        <w:rPr>
          <w:lang w:val="fr-FR" w:eastAsia="es-MX"/>
        </w:rPr>
      </w:pPr>
    </w:p>
    <w:p w:rsidR="00297D13" w:rsidRPr="00C774E2" w:rsidRDefault="00297D13" w:rsidP="00017172">
      <w:pPr>
        <w:numPr>
          <w:ilvl w:val="0"/>
          <w:numId w:val="1"/>
        </w:numPr>
        <w:shd w:val="clear" w:color="auto" w:fill="FFFFFF"/>
        <w:spacing w:after="0" w:line="360" w:lineRule="auto"/>
        <w:ind w:left="0"/>
        <w:jc w:val="both"/>
        <w:rPr>
          <w:rFonts w:ascii="Times New Roman" w:eastAsia="Calibri" w:hAnsi="Times New Roman" w:cs="Times New Roman"/>
          <w:b/>
          <w:bCs/>
          <w:color w:val="000000"/>
          <w:sz w:val="24"/>
          <w:szCs w:val="24"/>
          <w:lang w:eastAsia="es-MX"/>
        </w:rPr>
      </w:pPr>
      <w:r w:rsidRPr="00C774E2">
        <w:rPr>
          <w:rFonts w:ascii="Times New Roman" w:eastAsia="Calibri" w:hAnsi="Times New Roman" w:cs="Times New Roman"/>
          <w:b/>
          <w:bCs/>
          <w:color w:val="000000"/>
          <w:sz w:val="24"/>
          <w:szCs w:val="24"/>
          <w:lang w:eastAsia="es-MX"/>
        </w:rPr>
        <w:t>ÉVALUATION DU RENDEMENT</w:t>
      </w:r>
    </w:p>
    <w:p w:rsidR="00297D13" w:rsidRPr="00297D13" w:rsidRDefault="00297D13" w:rsidP="00297D13">
      <w:pPr>
        <w:spacing w:after="61"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Une évaluation de la performance du spécialiste sera effectuée par coordinateur du projet, dont le résultat sera envoyé à la Banque et permettra de mesurer objectivement et complètement la conduite professionnelle, les compétences et les performances du consultant dans le cadre de ses fonctions. L'évaluation du rendement du consultant a pour but de :</w:t>
      </w:r>
    </w:p>
    <w:p w:rsidR="00297D13" w:rsidRPr="00017172" w:rsidRDefault="00297D13" w:rsidP="00017172">
      <w:pPr>
        <w:pStyle w:val="ListParagraph"/>
        <w:numPr>
          <w:ilvl w:val="0"/>
          <w:numId w:val="5"/>
        </w:numPr>
        <w:spacing w:after="4" w:line="255" w:lineRule="auto"/>
        <w:ind w:right="14"/>
        <w:jc w:val="both"/>
        <w:rPr>
          <w:rFonts w:ascii="Times New Roman" w:eastAsia="Calibri" w:hAnsi="Times New Roman" w:cs="Times New Roman"/>
          <w:color w:val="000000"/>
          <w:sz w:val="24"/>
          <w:szCs w:val="24"/>
          <w:lang w:val="fr-FR" w:eastAsia="es-MX"/>
        </w:rPr>
      </w:pPr>
      <w:r w:rsidRPr="00017172">
        <w:rPr>
          <w:rFonts w:ascii="Times New Roman" w:eastAsia="Calibri" w:hAnsi="Times New Roman" w:cs="Times New Roman"/>
          <w:color w:val="000000"/>
          <w:sz w:val="24"/>
          <w:szCs w:val="24"/>
          <w:lang w:val="fr-FR" w:eastAsia="es-MX"/>
        </w:rPr>
        <w:t>Déterminer la qualité de ses services et leur éventuelle amélioration ;</w:t>
      </w:r>
    </w:p>
    <w:p w:rsidR="00C774E2" w:rsidRDefault="00297D13" w:rsidP="009542CD">
      <w:pPr>
        <w:pStyle w:val="ListParagraph"/>
        <w:numPr>
          <w:ilvl w:val="0"/>
          <w:numId w:val="5"/>
        </w:numPr>
        <w:spacing w:after="4" w:line="255" w:lineRule="auto"/>
        <w:ind w:right="14"/>
        <w:jc w:val="both"/>
        <w:rPr>
          <w:rFonts w:ascii="Times New Roman" w:eastAsia="Calibri" w:hAnsi="Times New Roman" w:cs="Times New Roman"/>
          <w:color w:val="000000"/>
          <w:sz w:val="24"/>
          <w:szCs w:val="24"/>
          <w:lang w:val="fr-FR" w:eastAsia="es-MX"/>
        </w:rPr>
      </w:pPr>
      <w:r w:rsidRPr="00C774E2">
        <w:rPr>
          <w:rFonts w:ascii="Times New Roman" w:eastAsia="Calibri" w:hAnsi="Times New Roman" w:cs="Times New Roman"/>
          <w:color w:val="000000"/>
          <w:sz w:val="24"/>
          <w:szCs w:val="24"/>
          <w:lang w:val="fr-FR" w:eastAsia="es-MX"/>
        </w:rPr>
        <w:t xml:space="preserve">Déterminer leurs besoins en matière de mise à jour en matière d'éducation et </w:t>
      </w:r>
    </w:p>
    <w:p w:rsidR="00297D13" w:rsidRPr="00C774E2" w:rsidRDefault="00297D13" w:rsidP="00C774E2">
      <w:pPr>
        <w:pStyle w:val="ListParagraph"/>
        <w:spacing w:after="4" w:line="255" w:lineRule="auto"/>
        <w:ind w:left="777" w:right="14"/>
        <w:jc w:val="both"/>
        <w:rPr>
          <w:rFonts w:ascii="Times New Roman" w:eastAsia="Calibri" w:hAnsi="Times New Roman" w:cs="Times New Roman"/>
          <w:color w:val="000000"/>
          <w:sz w:val="24"/>
          <w:szCs w:val="24"/>
          <w:lang w:val="fr-FR" w:eastAsia="es-MX"/>
        </w:rPr>
      </w:pPr>
      <w:proofErr w:type="gramStart"/>
      <w:r w:rsidRPr="00C774E2">
        <w:rPr>
          <w:rFonts w:ascii="Times New Roman" w:eastAsia="Calibri" w:hAnsi="Times New Roman" w:cs="Times New Roman"/>
          <w:color w:val="000000"/>
          <w:sz w:val="24"/>
          <w:szCs w:val="24"/>
          <w:lang w:val="fr-FR" w:eastAsia="es-MX"/>
        </w:rPr>
        <w:t>de</w:t>
      </w:r>
      <w:proofErr w:type="gramEnd"/>
      <w:r w:rsidR="00017172" w:rsidRPr="00C774E2">
        <w:rPr>
          <w:rFonts w:ascii="Times New Roman" w:eastAsia="Calibri" w:hAnsi="Times New Roman" w:cs="Times New Roman"/>
          <w:color w:val="000000"/>
          <w:sz w:val="24"/>
          <w:szCs w:val="24"/>
          <w:lang w:val="fr-FR" w:eastAsia="es-MX"/>
        </w:rPr>
        <w:t xml:space="preserve"> f</w:t>
      </w:r>
      <w:r w:rsidRPr="00C774E2">
        <w:rPr>
          <w:rFonts w:ascii="Times New Roman" w:eastAsia="Calibri" w:hAnsi="Times New Roman" w:cs="Times New Roman"/>
          <w:color w:val="000000"/>
          <w:sz w:val="24"/>
          <w:szCs w:val="24"/>
          <w:lang w:val="fr-FR" w:eastAsia="es-MX"/>
        </w:rPr>
        <w:t>ormation ;</w:t>
      </w:r>
    </w:p>
    <w:p w:rsidR="00297D13" w:rsidRPr="00297D13" w:rsidRDefault="00297D13" w:rsidP="00297D13">
      <w:pPr>
        <w:numPr>
          <w:ilvl w:val="0"/>
          <w:numId w:val="5"/>
        </w:numPr>
        <w:spacing w:after="223" w:line="255" w:lineRule="auto"/>
        <w:ind w:right="1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Déterminer la permanence dans leurs fonctions.</w:t>
      </w:r>
    </w:p>
    <w:p w:rsidR="00297D13" w:rsidRDefault="00297D13" w:rsidP="00297D13">
      <w:pPr>
        <w:spacing w:after="263" w:line="250" w:lineRule="auto"/>
        <w:ind w:left="42" w:firstLine="4"/>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L'évaluation du rendement doit être optimale comme condition de réembauche et doit être évaluée en fonction des objectifs établis atteints</w:t>
      </w:r>
    </w:p>
    <w:p w:rsidR="000769E4" w:rsidRPr="00297D13" w:rsidRDefault="000769E4" w:rsidP="000769E4">
      <w:pPr>
        <w:spacing w:after="263" w:line="250" w:lineRule="auto"/>
        <w:rPr>
          <w:rFonts w:ascii="Times New Roman" w:eastAsia="Calibri" w:hAnsi="Times New Roman" w:cs="Times New Roman"/>
          <w:color w:val="000000"/>
          <w:sz w:val="24"/>
          <w:szCs w:val="24"/>
          <w:lang w:val="fr-FR" w:eastAsia="es-MX"/>
        </w:rPr>
      </w:pPr>
    </w:p>
    <w:p w:rsidR="00297D13" w:rsidRPr="00297D13" w:rsidRDefault="00297D13" w:rsidP="00017172">
      <w:pPr>
        <w:numPr>
          <w:ilvl w:val="0"/>
          <w:numId w:val="1"/>
        </w:numPr>
        <w:shd w:val="clear" w:color="auto" w:fill="FFFFFF"/>
        <w:spacing w:after="0" w:line="360" w:lineRule="auto"/>
        <w:ind w:left="0"/>
        <w:jc w:val="both"/>
        <w:rPr>
          <w:rFonts w:ascii="Times New Roman" w:eastAsia="Calibri" w:hAnsi="Times New Roman" w:cs="Times New Roman"/>
          <w:b/>
          <w:bCs/>
          <w:color w:val="000000"/>
          <w:sz w:val="24"/>
          <w:szCs w:val="24"/>
          <w:lang w:val="fr-FR" w:eastAsia="es-MX"/>
        </w:rPr>
      </w:pPr>
      <w:r w:rsidRPr="00297D13">
        <w:rPr>
          <w:rFonts w:ascii="Times New Roman" w:eastAsia="Calibri" w:hAnsi="Times New Roman" w:cs="Times New Roman"/>
          <w:b/>
          <w:bCs/>
          <w:color w:val="000000"/>
          <w:sz w:val="24"/>
          <w:szCs w:val="24"/>
          <w:lang w:val="fr-FR" w:eastAsia="es-MX"/>
        </w:rPr>
        <w:t>BUDGET, SOURCE DE FINANCEMENT ET CALENDRIER DE PAIEMENT</w:t>
      </w:r>
    </w:p>
    <w:p w:rsidR="00297D13" w:rsidRPr="00297D13" w:rsidRDefault="00297D13" w:rsidP="00297D13">
      <w:pPr>
        <w:spacing w:after="223"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Le consultant fournira les services établis dans le présent contrat et recevra en retour un montant sur une base mensuelle, qui sera défini dans la négociation. Le paiement au consultant sera effectué avec les fonds du projet. Le montant du contrat comprendra toutes les taxes de droit et le consultant sera responsable de son exécution.</w:t>
      </w:r>
    </w:p>
    <w:p w:rsidR="00297D13" w:rsidRDefault="00297D13" w:rsidP="00297D13">
      <w:pPr>
        <w:spacing w:after="288"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Le consultant n'aura droit de la part de la DINEPA a aucun autre type de prestations, paiement, subvention, et indemnités.</w:t>
      </w:r>
    </w:p>
    <w:p w:rsidR="00C774E2" w:rsidRPr="00297D13" w:rsidRDefault="00C774E2" w:rsidP="0001343C">
      <w:pPr>
        <w:pStyle w:val="NoSpacing"/>
        <w:rPr>
          <w:lang w:val="fr-FR" w:eastAsia="es-MX"/>
        </w:rPr>
      </w:pPr>
    </w:p>
    <w:p w:rsidR="00297D13" w:rsidRPr="00297D13" w:rsidRDefault="00297D13" w:rsidP="00017172">
      <w:pPr>
        <w:numPr>
          <w:ilvl w:val="0"/>
          <w:numId w:val="1"/>
        </w:numPr>
        <w:shd w:val="clear" w:color="auto" w:fill="FFFFFF"/>
        <w:spacing w:after="0" w:line="360" w:lineRule="auto"/>
        <w:ind w:left="0"/>
        <w:jc w:val="both"/>
        <w:rPr>
          <w:rFonts w:ascii="Times New Roman" w:eastAsia="Calibri" w:hAnsi="Times New Roman" w:cs="Times New Roman"/>
          <w:b/>
          <w:bCs/>
          <w:color w:val="000000"/>
          <w:sz w:val="24"/>
          <w:szCs w:val="24"/>
          <w:lang w:eastAsia="es-MX"/>
        </w:rPr>
      </w:pPr>
      <w:r w:rsidRPr="00297D13">
        <w:rPr>
          <w:rFonts w:ascii="Times New Roman" w:eastAsia="Calibri" w:hAnsi="Times New Roman" w:cs="Times New Roman"/>
          <w:b/>
          <w:bCs/>
          <w:color w:val="000000"/>
          <w:sz w:val="24"/>
          <w:szCs w:val="24"/>
          <w:lang w:val="fr-FR" w:eastAsia="es-MX"/>
        </w:rPr>
        <w:t>CONFIDENTIALITÉ</w:t>
      </w:r>
      <w:r w:rsidRPr="00297D13">
        <w:rPr>
          <w:rFonts w:ascii="Times New Roman" w:eastAsia="Calibri" w:hAnsi="Times New Roman" w:cs="Times New Roman"/>
          <w:b/>
          <w:bCs/>
          <w:color w:val="000000"/>
          <w:sz w:val="24"/>
          <w:szCs w:val="24"/>
          <w:lang w:eastAsia="es-MX"/>
        </w:rPr>
        <w:t xml:space="preserve"> ET PROPRIÉTÉ DES DOCUMENTS</w:t>
      </w:r>
    </w:p>
    <w:p w:rsidR="00297D13" w:rsidRDefault="00297D13" w:rsidP="00297D13">
      <w:pPr>
        <w:spacing w:after="223"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La propriété des documents résultant des travaux : les documents, rapports, etc. qui sont réalisés par le Consultant, ainsi que tout matériel généré au cours des services fournis par le Consultant, sont la propriété de la DINEPA et, par conséquent, doivent lui être livrés à la fin de ses services, étant expressément interdit leur divulgation à des tiers par le Consultant, sauf autorisation écrite de la DINEPA. Nonobstant ce qui précède, les documents résultant des travaux doivent être mis à la disposition de la Banque mondiale en cas de besoin.</w:t>
      </w:r>
    </w:p>
    <w:p w:rsidR="0001343C" w:rsidRPr="00297D13" w:rsidRDefault="0001343C" w:rsidP="0001343C">
      <w:pPr>
        <w:pStyle w:val="NoSpacing"/>
        <w:rPr>
          <w:lang w:val="fr-FR" w:eastAsia="es-MX"/>
        </w:rPr>
      </w:pPr>
    </w:p>
    <w:p w:rsidR="00297D13" w:rsidRPr="00297D13" w:rsidRDefault="00297D13" w:rsidP="00017172">
      <w:pPr>
        <w:numPr>
          <w:ilvl w:val="0"/>
          <w:numId w:val="1"/>
        </w:numPr>
        <w:shd w:val="clear" w:color="auto" w:fill="FFFFFF"/>
        <w:spacing w:after="0" w:line="360" w:lineRule="auto"/>
        <w:ind w:left="0"/>
        <w:jc w:val="both"/>
        <w:rPr>
          <w:rFonts w:ascii="Times New Roman" w:eastAsia="Calibri" w:hAnsi="Times New Roman" w:cs="Times New Roman"/>
          <w:b/>
          <w:bCs/>
          <w:color w:val="000000"/>
          <w:sz w:val="24"/>
          <w:szCs w:val="24"/>
          <w:u w:val="single" w:color="000000"/>
          <w:lang w:val="fr-FR" w:eastAsia="es-MX"/>
        </w:rPr>
      </w:pPr>
      <w:r w:rsidRPr="00297D13">
        <w:rPr>
          <w:rFonts w:ascii="Times New Roman" w:eastAsia="Calibri" w:hAnsi="Times New Roman" w:cs="Times New Roman"/>
          <w:b/>
          <w:bCs/>
          <w:color w:val="000000"/>
          <w:sz w:val="24"/>
          <w:szCs w:val="24"/>
          <w:u w:color="000000"/>
          <w:lang w:val="fr-FR" w:eastAsia="es-MX"/>
        </w:rPr>
        <w:t>ÉLIGIBILITÉ</w:t>
      </w:r>
    </w:p>
    <w:p w:rsidR="00297D13" w:rsidRPr="00297D13" w:rsidRDefault="00297D13" w:rsidP="00297D13">
      <w:pPr>
        <w:spacing w:after="223"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lastRenderedPageBreak/>
        <w:t>Le Consultant se consacre exclusivement au présent Contrat et n'a pas de difficultés d'incompatibilité de fonctions selon les règles de la Banque mondiale.</w:t>
      </w:r>
    </w:p>
    <w:p w:rsidR="00297D13" w:rsidRPr="00297D13" w:rsidRDefault="00297D13" w:rsidP="00297D13">
      <w:pPr>
        <w:spacing w:after="292"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La Banque permet aux entreprises et aux particuliers éligibles de tous les pays d'offrir des biens, des travaux, des services autres que de conseil et des services de conseil pour les projets qu'elle finance.</w:t>
      </w:r>
    </w:p>
    <w:p w:rsidR="00297D13" w:rsidRPr="00297D13" w:rsidRDefault="00297D13" w:rsidP="00297D13">
      <w:pPr>
        <w:spacing w:after="52"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Dans les acquisitions financées en tout ou en partie par la Banque, l'Emprunteur ne peut refuser la participation d'un Demandeur/Proposant/Consultant ni refuser l'attribution d'un marché à ce dernier pour des raisons qui ne sont pas liées à l'un des aspects suivants :</w:t>
      </w:r>
    </w:p>
    <w:p w:rsidR="00297D13" w:rsidRPr="00017172" w:rsidRDefault="00297D13" w:rsidP="00017172">
      <w:pPr>
        <w:pStyle w:val="ListParagraph"/>
        <w:numPr>
          <w:ilvl w:val="0"/>
          <w:numId w:val="7"/>
        </w:numPr>
        <w:spacing w:after="38" w:line="255" w:lineRule="auto"/>
        <w:ind w:right="7"/>
        <w:jc w:val="both"/>
        <w:rPr>
          <w:rFonts w:ascii="Times New Roman" w:eastAsia="Calibri" w:hAnsi="Times New Roman" w:cs="Times New Roman"/>
          <w:color w:val="000000"/>
          <w:sz w:val="24"/>
          <w:szCs w:val="24"/>
          <w:lang w:val="fr-FR" w:eastAsia="es-MX"/>
        </w:rPr>
      </w:pPr>
      <w:r w:rsidRPr="00017172">
        <w:rPr>
          <w:rFonts w:ascii="Times New Roman" w:eastAsia="Courier New" w:hAnsi="Times New Roman" w:cs="Times New Roman"/>
          <w:color w:val="000000"/>
          <w:sz w:val="24"/>
          <w:szCs w:val="24"/>
          <w:lang w:val="fr-FR" w:eastAsia="es-MX"/>
        </w:rPr>
        <w:t>sa capacité et ses ressources à exécuter le marché avec succès, ou</w:t>
      </w:r>
    </w:p>
    <w:p w:rsidR="00297D13" w:rsidRDefault="00297D13" w:rsidP="00297D13">
      <w:pPr>
        <w:numPr>
          <w:ilvl w:val="0"/>
          <w:numId w:val="7"/>
        </w:numPr>
        <w:spacing w:after="171" w:line="255" w:lineRule="auto"/>
        <w:ind w:right="7"/>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les situations de conflit d'intérêts visées aux paragraphes 3.14 à 3.17 (« Conflit d'intérêts ») du Règlement sur les marchés publics de la Banque mondiale, mis à jour en novembre 2020.</w:t>
      </w:r>
    </w:p>
    <w:p w:rsidR="009133E5" w:rsidRPr="00297D13" w:rsidRDefault="009133E5" w:rsidP="00710369">
      <w:pPr>
        <w:spacing w:after="171" w:line="255" w:lineRule="auto"/>
        <w:ind w:right="7"/>
        <w:jc w:val="both"/>
        <w:rPr>
          <w:rFonts w:ascii="Times New Roman" w:eastAsia="Calibri" w:hAnsi="Times New Roman" w:cs="Times New Roman"/>
          <w:color w:val="000000"/>
          <w:sz w:val="24"/>
          <w:szCs w:val="24"/>
          <w:lang w:val="fr-FR" w:eastAsia="es-MX"/>
        </w:rPr>
      </w:pPr>
    </w:p>
    <w:p w:rsidR="00297D13" w:rsidRPr="00297D13" w:rsidRDefault="00297D13" w:rsidP="00017172">
      <w:pPr>
        <w:numPr>
          <w:ilvl w:val="0"/>
          <w:numId w:val="1"/>
        </w:numPr>
        <w:shd w:val="clear" w:color="auto" w:fill="FFFFFF"/>
        <w:spacing w:after="0" w:line="360" w:lineRule="auto"/>
        <w:ind w:left="0"/>
        <w:jc w:val="both"/>
        <w:rPr>
          <w:rFonts w:ascii="Times New Roman" w:eastAsia="Calibri" w:hAnsi="Times New Roman" w:cs="Times New Roman"/>
          <w:b/>
          <w:bCs/>
          <w:color w:val="000000"/>
          <w:sz w:val="24"/>
          <w:szCs w:val="24"/>
          <w:lang w:val="fr-FR" w:eastAsia="es-MX"/>
        </w:rPr>
      </w:pPr>
      <w:r w:rsidRPr="00297D13">
        <w:rPr>
          <w:rFonts w:ascii="Times New Roman" w:eastAsia="Calibri" w:hAnsi="Times New Roman" w:cs="Times New Roman"/>
          <w:b/>
          <w:bCs/>
          <w:color w:val="000000"/>
          <w:sz w:val="24"/>
          <w:szCs w:val="24"/>
          <w:u w:color="000000"/>
          <w:lang w:val="fr-FR" w:eastAsia="es-MX"/>
        </w:rPr>
        <w:t>CONFLIT</w:t>
      </w:r>
      <w:r w:rsidRPr="00297D13">
        <w:rPr>
          <w:rFonts w:ascii="Times New Roman" w:eastAsia="Calibri" w:hAnsi="Times New Roman" w:cs="Times New Roman"/>
          <w:b/>
          <w:bCs/>
          <w:color w:val="000000"/>
          <w:sz w:val="24"/>
          <w:szCs w:val="24"/>
          <w:lang w:val="fr-FR" w:eastAsia="es-MX"/>
        </w:rPr>
        <w:t xml:space="preserve"> D'INTÉRÊTS</w:t>
      </w:r>
    </w:p>
    <w:p w:rsidR="00297D13" w:rsidRDefault="00297D13" w:rsidP="00297D13">
      <w:pPr>
        <w:spacing w:after="287"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La Banque exige que les entreprises et les consultants impliqués dans des acquisitions pour le financement d'opérations de projets d'investissement n'aient pas de conflits d'intérêts.</w:t>
      </w:r>
    </w:p>
    <w:p w:rsidR="00017172" w:rsidRPr="00297D13" w:rsidRDefault="00017172" w:rsidP="009133E5">
      <w:pPr>
        <w:pStyle w:val="NoSpacing"/>
        <w:rPr>
          <w:lang w:val="fr-FR" w:eastAsia="es-MX"/>
        </w:rPr>
      </w:pPr>
    </w:p>
    <w:p w:rsidR="00297D13" w:rsidRPr="00297D13" w:rsidRDefault="00297D13" w:rsidP="00017172">
      <w:pPr>
        <w:numPr>
          <w:ilvl w:val="0"/>
          <w:numId w:val="1"/>
        </w:numPr>
        <w:shd w:val="clear" w:color="auto" w:fill="FFFFFF"/>
        <w:spacing w:after="0" w:line="360" w:lineRule="auto"/>
        <w:ind w:left="0"/>
        <w:jc w:val="both"/>
        <w:rPr>
          <w:rFonts w:ascii="Times New Roman" w:eastAsia="Calibri" w:hAnsi="Times New Roman" w:cs="Times New Roman"/>
          <w:b/>
          <w:bCs/>
          <w:color w:val="000000"/>
          <w:sz w:val="24"/>
          <w:szCs w:val="24"/>
          <w:lang w:eastAsia="es-MX"/>
        </w:rPr>
      </w:pPr>
      <w:r w:rsidRPr="00297D13">
        <w:rPr>
          <w:rFonts w:ascii="Times New Roman" w:eastAsia="Calibri" w:hAnsi="Times New Roman" w:cs="Times New Roman"/>
          <w:b/>
          <w:bCs/>
          <w:color w:val="000000"/>
          <w:sz w:val="24"/>
          <w:szCs w:val="24"/>
          <w:lang w:eastAsia="es-MX"/>
        </w:rPr>
        <w:t>FRAUDE ET CORRUPTION</w:t>
      </w:r>
    </w:p>
    <w:p w:rsidR="00297D13" w:rsidRDefault="00297D13" w:rsidP="00297D13">
      <w:pPr>
        <w:spacing w:after="223"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La Banque exige l'application et le respect des Normes pour la prévention et la lutte contre la fraude et la corruption, qui comprennent, entre autres, le droit de la Banque de sanctionner, d'inspecter et de mener des audits.</w:t>
      </w:r>
    </w:p>
    <w:p w:rsidR="00017172" w:rsidRPr="00297D13" w:rsidRDefault="00017172" w:rsidP="00297D13">
      <w:pPr>
        <w:spacing w:after="223" w:line="255" w:lineRule="auto"/>
        <w:ind w:left="42" w:right="14" w:firstLine="4"/>
        <w:jc w:val="both"/>
        <w:rPr>
          <w:rFonts w:ascii="Times New Roman" w:eastAsia="Calibri" w:hAnsi="Times New Roman" w:cs="Times New Roman"/>
          <w:color w:val="000000"/>
          <w:sz w:val="24"/>
          <w:szCs w:val="24"/>
          <w:lang w:val="fr-FR" w:eastAsia="es-MX"/>
        </w:rPr>
      </w:pPr>
    </w:p>
    <w:p w:rsidR="00297D13" w:rsidRPr="00297D13" w:rsidRDefault="00297D13" w:rsidP="00017172">
      <w:pPr>
        <w:numPr>
          <w:ilvl w:val="0"/>
          <w:numId w:val="1"/>
        </w:numPr>
        <w:shd w:val="clear" w:color="auto" w:fill="FFFFFF"/>
        <w:spacing w:after="0" w:line="360" w:lineRule="auto"/>
        <w:ind w:left="0"/>
        <w:jc w:val="both"/>
        <w:rPr>
          <w:rFonts w:ascii="Times New Roman" w:eastAsia="Calibri" w:hAnsi="Times New Roman" w:cs="Times New Roman"/>
          <w:b/>
          <w:bCs/>
          <w:color w:val="000000"/>
          <w:sz w:val="24"/>
          <w:szCs w:val="24"/>
          <w:lang w:val="fr-FR" w:eastAsia="es-MX"/>
        </w:rPr>
      </w:pPr>
      <w:r w:rsidRPr="00297D13">
        <w:rPr>
          <w:rFonts w:ascii="Times New Roman" w:eastAsia="Calibri" w:hAnsi="Times New Roman" w:cs="Times New Roman"/>
          <w:b/>
          <w:bCs/>
          <w:color w:val="000000"/>
          <w:sz w:val="24"/>
          <w:szCs w:val="24"/>
          <w:lang w:val="fr-FR" w:eastAsia="es-MX"/>
        </w:rPr>
        <w:t>NOTIFICATIONS PENDANT LE PROCESSUS DE SÉLECTION</w:t>
      </w:r>
    </w:p>
    <w:p w:rsidR="00297D13" w:rsidRPr="00017172" w:rsidRDefault="00297D13" w:rsidP="00297D13">
      <w:pPr>
        <w:spacing w:after="223" w:line="255" w:lineRule="auto"/>
        <w:ind w:left="42" w:right="14" w:firstLine="4"/>
        <w:jc w:val="both"/>
        <w:rPr>
          <w:rFonts w:ascii="Times New Roman" w:eastAsia="Calibri" w:hAnsi="Times New Roman" w:cs="Times New Roman"/>
          <w:color w:val="000000"/>
          <w:sz w:val="24"/>
          <w:szCs w:val="24"/>
          <w:lang w:val="fr-FR" w:eastAsia="es-MX"/>
        </w:rPr>
      </w:pPr>
      <w:r w:rsidRPr="00297D13">
        <w:rPr>
          <w:rFonts w:ascii="Times New Roman" w:eastAsia="Calibri" w:hAnsi="Times New Roman" w:cs="Times New Roman"/>
          <w:color w:val="000000"/>
          <w:sz w:val="24"/>
          <w:szCs w:val="24"/>
          <w:lang w:val="fr-FR" w:eastAsia="es-MX"/>
        </w:rPr>
        <w:t>Les notifications d'invitation à l'entretien et la notification de la sélection ou non du consultant seront faites par courrier électronique. Une fois l'évaluation complète des profils terminée, l'invitation à négocier sera faite au consultant sélectionné.</w:t>
      </w:r>
    </w:p>
    <w:p w:rsidR="00710369" w:rsidRPr="00752D6D" w:rsidRDefault="00710369" w:rsidP="00710369">
      <w:pPr>
        <w:spacing w:before="60" w:line="276" w:lineRule="auto"/>
        <w:jc w:val="both"/>
        <w:rPr>
          <w:rFonts w:ascii="Calibri" w:eastAsia="Tahoma" w:hAnsi="Calibri"/>
          <w:lang w:val="fr-HT"/>
        </w:rPr>
      </w:pPr>
    </w:p>
    <w:tbl>
      <w:tblPr>
        <w:tblW w:w="9450"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70"/>
        <w:gridCol w:w="3510"/>
        <w:gridCol w:w="1530"/>
        <w:gridCol w:w="3240"/>
      </w:tblGrid>
      <w:tr w:rsidR="00710369" w:rsidRPr="00752D6D" w:rsidTr="00597CE5">
        <w:tc>
          <w:tcPr>
            <w:tcW w:w="9450" w:type="dxa"/>
            <w:gridSpan w:val="4"/>
            <w:shd w:val="clear" w:color="auto" w:fill="C6D9F1"/>
            <w:tcMar>
              <w:top w:w="29" w:type="dxa"/>
              <w:left w:w="115" w:type="dxa"/>
              <w:bottom w:w="29" w:type="dxa"/>
              <w:right w:w="115" w:type="dxa"/>
            </w:tcMar>
          </w:tcPr>
          <w:p w:rsidR="00710369" w:rsidRPr="00752D6D" w:rsidRDefault="00710369" w:rsidP="00597CE5">
            <w:pPr>
              <w:pStyle w:val="Label"/>
              <w:spacing w:line="276" w:lineRule="auto"/>
              <w:jc w:val="both"/>
              <w:rPr>
                <w:sz w:val="24"/>
                <w:szCs w:val="24"/>
                <w:lang w:val="fr-HT"/>
              </w:rPr>
            </w:pPr>
            <w:r w:rsidRPr="00752D6D">
              <w:rPr>
                <w:sz w:val="24"/>
                <w:szCs w:val="24"/>
                <w:lang w:val="fr-HT"/>
              </w:rPr>
              <w:t>Dossier de candidature à envoyer à:</w:t>
            </w:r>
          </w:p>
        </w:tc>
      </w:tr>
      <w:tr w:rsidR="00710369" w:rsidRPr="00752D6D" w:rsidTr="00597CE5">
        <w:trPr>
          <w:trHeight w:val="4011"/>
        </w:trPr>
        <w:tc>
          <w:tcPr>
            <w:tcW w:w="1170" w:type="dxa"/>
            <w:shd w:val="clear" w:color="auto" w:fill="D9D9D9"/>
            <w:tcMar>
              <w:top w:w="29" w:type="dxa"/>
              <w:left w:w="115" w:type="dxa"/>
              <w:bottom w:w="29" w:type="dxa"/>
              <w:right w:w="115" w:type="dxa"/>
            </w:tcMar>
          </w:tcPr>
          <w:p w:rsidR="00710369" w:rsidRPr="00752D6D" w:rsidRDefault="00710369" w:rsidP="00597CE5">
            <w:pPr>
              <w:pStyle w:val="Label"/>
              <w:spacing w:line="276" w:lineRule="auto"/>
              <w:jc w:val="both"/>
              <w:rPr>
                <w:sz w:val="24"/>
                <w:szCs w:val="24"/>
                <w:lang w:val="fr-HT"/>
              </w:rPr>
            </w:pPr>
            <w:r w:rsidRPr="00752D6D">
              <w:rPr>
                <w:rFonts w:eastAsia="Tahoma"/>
                <w:sz w:val="24"/>
                <w:szCs w:val="24"/>
              </w:rPr>
              <w:lastRenderedPageBreak/>
              <w:t xml:space="preserve">Par </w:t>
            </w:r>
            <w:proofErr w:type="spellStart"/>
            <w:r w:rsidRPr="00752D6D">
              <w:rPr>
                <w:rFonts w:eastAsia="Tahoma"/>
                <w:sz w:val="24"/>
                <w:szCs w:val="24"/>
              </w:rPr>
              <w:t>courrier</w:t>
            </w:r>
            <w:proofErr w:type="spellEnd"/>
            <w:r w:rsidRPr="00752D6D">
              <w:rPr>
                <w:rFonts w:eastAsia="Tahoma"/>
                <w:sz w:val="24"/>
                <w:szCs w:val="24"/>
              </w:rPr>
              <w:t xml:space="preserve"> physique:</w:t>
            </w:r>
          </w:p>
        </w:tc>
        <w:tc>
          <w:tcPr>
            <w:tcW w:w="3510" w:type="dxa"/>
            <w:tcMar>
              <w:top w:w="29" w:type="dxa"/>
              <w:left w:w="115" w:type="dxa"/>
              <w:bottom w:w="29" w:type="dxa"/>
              <w:right w:w="115" w:type="dxa"/>
            </w:tcMar>
          </w:tcPr>
          <w:p w:rsidR="00710369" w:rsidRPr="00752D6D" w:rsidRDefault="00710369" w:rsidP="00597CE5">
            <w:pPr>
              <w:spacing w:before="60" w:after="20" w:line="276" w:lineRule="auto"/>
              <w:jc w:val="both"/>
              <w:rPr>
                <w:rFonts w:ascii="Calibri" w:eastAsia="Tahoma" w:hAnsi="Calibri"/>
                <w:b/>
                <w:lang w:val="fr-HT"/>
              </w:rPr>
            </w:pPr>
            <w:r w:rsidRPr="00752D6D">
              <w:rPr>
                <w:rFonts w:ascii="Calibri" w:eastAsia="Tahoma" w:hAnsi="Calibri"/>
                <w:b/>
                <w:lang w:val="fr-HT"/>
              </w:rPr>
              <w:t>DIRECTION NATIONALE DE L’EAU POTABLE ET DE L’ASSAINISSEMENT :</w:t>
            </w:r>
          </w:p>
          <w:p w:rsidR="00710369" w:rsidRPr="00752D6D" w:rsidRDefault="00710369" w:rsidP="00597CE5">
            <w:pPr>
              <w:spacing w:before="60" w:after="20" w:line="276" w:lineRule="auto"/>
              <w:jc w:val="both"/>
              <w:rPr>
                <w:rFonts w:ascii="Calibri" w:eastAsia="Tahoma" w:hAnsi="Calibri"/>
                <w:lang w:val="fr-HT"/>
              </w:rPr>
            </w:pPr>
            <w:r w:rsidRPr="00752D6D">
              <w:rPr>
                <w:rFonts w:ascii="Calibri" w:eastAsia="Tahoma" w:hAnsi="Calibri"/>
                <w:b/>
                <w:u w:val="single"/>
                <w:lang w:val="fr-HT"/>
              </w:rPr>
              <w:t>Adresse :</w:t>
            </w:r>
            <w:r w:rsidRPr="00752D6D">
              <w:rPr>
                <w:rFonts w:ascii="Calibri" w:eastAsia="Tahoma" w:hAnsi="Calibri"/>
                <w:lang w:val="fr-HT"/>
              </w:rPr>
              <w:t xml:space="preserve"> 4, angle rue </w:t>
            </w:r>
            <w:proofErr w:type="spellStart"/>
            <w:r w:rsidRPr="00752D6D">
              <w:rPr>
                <w:rFonts w:ascii="Calibri" w:eastAsia="Tahoma" w:hAnsi="Calibri"/>
                <w:lang w:val="fr-HT"/>
              </w:rPr>
              <w:t>Métellus</w:t>
            </w:r>
            <w:proofErr w:type="spellEnd"/>
            <w:r w:rsidRPr="00752D6D">
              <w:rPr>
                <w:rFonts w:ascii="Calibri" w:eastAsia="Tahoma" w:hAnsi="Calibri"/>
                <w:lang w:val="fr-HT"/>
              </w:rPr>
              <w:t xml:space="preserve"> et route Ibo </w:t>
            </w:r>
            <w:proofErr w:type="spellStart"/>
            <w:r w:rsidRPr="00752D6D">
              <w:rPr>
                <w:rFonts w:ascii="Calibri" w:eastAsia="Tahoma" w:hAnsi="Calibri"/>
                <w:lang w:val="fr-HT"/>
              </w:rPr>
              <w:t>Lélé</w:t>
            </w:r>
            <w:proofErr w:type="spellEnd"/>
            <w:r w:rsidRPr="00752D6D">
              <w:rPr>
                <w:rFonts w:ascii="Calibri" w:eastAsia="Tahoma" w:hAnsi="Calibri"/>
                <w:lang w:val="fr-HT"/>
              </w:rPr>
              <w:t>.</w:t>
            </w:r>
          </w:p>
          <w:p w:rsidR="00710369" w:rsidRPr="00752D6D" w:rsidRDefault="00710369" w:rsidP="00597CE5">
            <w:pPr>
              <w:spacing w:before="60" w:after="20" w:line="276" w:lineRule="auto"/>
              <w:jc w:val="both"/>
              <w:rPr>
                <w:rFonts w:ascii="Calibri" w:eastAsia="Tahoma" w:hAnsi="Calibri"/>
                <w:lang w:val="fr-HT"/>
              </w:rPr>
            </w:pPr>
            <w:r w:rsidRPr="00752D6D">
              <w:rPr>
                <w:rFonts w:ascii="Calibri" w:eastAsia="Tahoma" w:hAnsi="Calibri"/>
                <w:lang w:val="fr-HT"/>
              </w:rPr>
              <w:t>Pétion-ville, Haïti.</w:t>
            </w:r>
          </w:p>
          <w:p w:rsidR="00710369" w:rsidRDefault="00710369" w:rsidP="00597CE5">
            <w:pPr>
              <w:spacing w:before="60" w:after="20" w:line="276" w:lineRule="auto"/>
              <w:jc w:val="both"/>
              <w:rPr>
                <w:rFonts w:ascii="Calibri" w:eastAsia="Tahoma" w:hAnsi="Calibri"/>
                <w:b/>
                <w:i/>
                <w:lang w:val="fr-HT"/>
              </w:rPr>
            </w:pPr>
            <w:r w:rsidRPr="00752D6D">
              <w:rPr>
                <w:rFonts w:ascii="Calibri" w:eastAsia="Tahoma" w:hAnsi="Calibri"/>
                <w:b/>
                <w:i/>
                <w:lang w:val="fr-HT"/>
              </w:rPr>
              <w:t>Prière de noter sur l’enveloppe</w:t>
            </w:r>
          </w:p>
          <w:p w:rsidR="00710369" w:rsidRPr="00752D6D" w:rsidRDefault="00710369" w:rsidP="00597CE5">
            <w:pPr>
              <w:spacing w:before="60" w:after="20" w:line="276" w:lineRule="auto"/>
              <w:jc w:val="both"/>
              <w:rPr>
                <w:rFonts w:ascii="Calibri" w:eastAsia="Tahoma" w:hAnsi="Calibri"/>
                <w:b/>
                <w:i/>
                <w:lang w:val="fr-HT"/>
              </w:rPr>
            </w:pPr>
          </w:p>
          <w:p w:rsidR="00710369" w:rsidRPr="00752D6D" w:rsidRDefault="00710369" w:rsidP="00597CE5">
            <w:pPr>
              <w:spacing w:line="276" w:lineRule="auto"/>
              <w:jc w:val="center"/>
              <w:rPr>
                <w:rFonts w:ascii="Calibri" w:hAnsi="Calibri"/>
                <w:lang w:val="fr-CA"/>
              </w:rPr>
            </w:pPr>
            <w:r>
              <w:rPr>
                <w:rFonts w:ascii="Calibri" w:hAnsi="Calibri" w:cs="Tahoma"/>
                <w:b/>
                <w:lang w:val="fr-FR"/>
              </w:rPr>
              <w:t>«</w:t>
            </w:r>
            <w:r>
              <w:rPr>
                <w:b/>
                <w:lang w:val="fr-FR"/>
              </w:rPr>
              <w:t>Spécialiste du Suivi et Evaluation/Projet EPARRDD »</w:t>
            </w:r>
          </w:p>
        </w:tc>
        <w:tc>
          <w:tcPr>
            <w:tcW w:w="1530" w:type="dxa"/>
            <w:shd w:val="clear" w:color="auto" w:fill="D9D9D9"/>
            <w:tcMar>
              <w:top w:w="29" w:type="dxa"/>
              <w:left w:w="115" w:type="dxa"/>
              <w:bottom w:w="29" w:type="dxa"/>
              <w:right w:w="115" w:type="dxa"/>
            </w:tcMar>
          </w:tcPr>
          <w:p w:rsidR="00710369" w:rsidRPr="00752D6D" w:rsidRDefault="00710369" w:rsidP="00597CE5">
            <w:pPr>
              <w:pStyle w:val="Label"/>
              <w:spacing w:line="276" w:lineRule="auto"/>
              <w:jc w:val="both"/>
              <w:rPr>
                <w:sz w:val="24"/>
                <w:szCs w:val="24"/>
                <w:lang w:val="fr-HT"/>
              </w:rPr>
            </w:pPr>
            <w:r w:rsidRPr="00752D6D">
              <w:rPr>
                <w:rFonts w:eastAsia="Tahoma"/>
                <w:sz w:val="24"/>
                <w:szCs w:val="24"/>
              </w:rPr>
              <w:t xml:space="preserve">Par </w:t>
            </w:r>
            <w:proofErr w:type="spellStart"/>
            <w:r w:rsidRPr="00752D6D">
              <w:rPr>
                <w:rFonts w:eastAsia="Tahoma"/>
                <w:sz w:val="24"/>
                <w:szCs w:val="24"/>
              </w:rPr>
              <w:t>courrier</w:t>
            </w:r>
            <w:proofErr w:type="spellEnd"/>
            <w:r w:rsidRPr="00752D6D">
              <w:rPr>
                <w:rFonts w:eastAsia="Tahoma"/>
                <w:sz w:val="24"/>
                <w:szCs w:val="24"/>
              </w:rPr>
              <w:t xml:space="preserve"> </w:t>
            </w:r>
            <w:proofErr w:type="spellStart"/>
            <w:r w:rsidRPr="00752D6D">
              <w:rPr>
                <w:rFonts w:eastAsia="Tahoma"/>
                <w:sz w:val="24"/>
                <w:szCs w:val="24"/>
              </w:rPr>
              <w:t>électronique</w:t>
            </w:r>
            <w:proofErr w:type="spellEnd"/>
            <w:r w:rsidRPr="00752D6D">
              <w:rPr>
                <w:rFonts w:eastAsia="Tahoma"/>
                <w:sz w:val="24"/>
                <w:szCs w:val="24"/>
              </w:rPr>
              <w:t>:</w:t>
            </w:r>
          </w:p>
        </w:tc>
        <w:tc>
          <w:tcPr>
            <w:tcW w:w="3240" w:type="dxa"/>
            <w:tcMar>
              <w:top w:w="29" w:type="dxa"/>
              <w:left w:w="115" w:type="dxa"/>
              <w:bottom w:w="29" w:type="dxa"/>
              <w:right w:w="115" w:type="dxa"/>
            </w:tcMar>
          </w:tcPr>
          <w:p w:rsidR="00710369" w:rsidRPr="00752D6D" w:rsidRDefault="00710369" w:rsidP="00710369">
            <w:pPr>
              <w:numPr>
                <w:ilvl w:val="0"/>
                <w:numId w:val="10"/>
              </w:numPr>
              <w:spacing w:before="60" w:after="20" w:line="276" w:lineRule="auto"/>
              <w:ind w:left="245" w:hanging="245"/>
              <w:jc w:val="both"/>
              <w:rPr>
                <w:rFonts w:ascii="Calibri" w:eastAsia="Tahoma" w:hAnsi="Calibri"/>
              </w:rPr>
            </w:pPr>
            <w:r w:rsidRPr="00752D6D">
              <w:rPr>
                <w:rFonts w:ascii="Calibri" w:eastAsia="Tahoma" w:hAnsi="Calibri"/>
              </w:rPr>
              <w:t xml:space="preserve">recrutement@dinepa.gouv.ht </w:t>
            </w:r>
          </w:p>
          <w:p w:rsidR="00710369" w:rsidRPr="00752D6D" w:rsidRDefault="00710369" w:rsidP="00710369">
            <w:pPr>
              <w:numPr>
                <w:ilvl w:val="0"/>
                <w:numId w:val="10"/>
              </w:numPr>
              <w:spacing w:before="60" w:after="20" w:line="276" w:lineRule="auto"/>
              <w:ind w:left="245" w:hanging="270"/>
              <w:jc w:val="both"/>
              <w:rPr>
                <w:rFonts w:ascii="Calibri" w:eastAsia="Tahoma" w:hAnsi="Calibri"/>
              </w:rPr>
            </w:pPr>
            <w:r w:rsidRPr="00752D6D">
              <w:rPr>
                <w:rFonts w:ascii="Calibri" w:eastAsia="Tahoma" w:hAnsi="Calibri"/>
              </w:rPr>
              <w:t xml:space="preserve">secretariat@dinepa.gouv.ht </w:t>
            </w:r>
          </w:p>
          <w:p w:rsidR="00710369" w:rsidRPr="00752D6D" w:rsidRDefault="00710369" w:rsidP="00597CE5">
            <w:pPr>
              <w:spacing w:before="60" w:after="20" w:line="276" w:lineRule="auto"/>
              <w:ind w:left="245"/>
              <w:jc w:val="both"/>
              <w:rPr>
                <w:rFonts w:ascii="Calibri" w:eastAsia="Tahoma" w:hAnsi="Calibri"/>
              </w:rPr>
            </w:pPr>
          </w:p>
          <w:p w:rsidR="00710369" w:rsidRPr="00752D6D" w:rsidRDefault="00710369" w:rsidP="00597CE5">
            <w:pPr>
              <w:spacing w:line="276" w:lineRule="auto"/>
              <w:jc w:val="both"/>
              <w:rPr>
                <w:rFonts w:ascii="Calibri" w:eastAsia="Tahoma" w:hAnsi="Calibri"/>
                <w:b/>
                <w:i/>
                <w:lang w:val="fr-HT"/>
              </w:rPr>
            </w:pPr>
            <w:r w:rsidRPr="00752D6D">
              <w:rPr>
                <w:rFonts w:ascii="Calibri" w:eastAsia="Tahoma" w:hAnsi="Calibri"/>
                <w:b/>
                <w:i/>
                <w:lang w:val="fr-HT"/>
              </w:rPr>
              <w:t xml:space="preserve">Prière de noter comme sujet </w:t>
            </w:r>
          </w:p>
          <w:p w:rsidR="00710369" w:rsidRPr="00752D6D" w:rsidRDefault="00710369" w:rsidP="00597CE5">
            <w:pPr>
              <w:spacing w:line="276" w:lineRule="auto"/>
              <w:jc w:val="both"/>
              <w:rPr>
                <w:rFonts w:ascii="Calibri" w:eastAsia="Tahoma" w:hAnsi="Calibri"/>
                <w:b/>
                <w:i/>
                <w:lang w:val="fr-HT"/>
              </w:rPr>
            </w:pPr>
          </w:p>
          <w:p w:rsidR="00710369" w:rsidRDefault="00710369" w:rsidP="00597CE5">
            <w:pPr>
              <w:spacing w:line="276" w:lineRule="auto"/>
              <w:jc w:val="both"/>
              <w:rPr>
                <w:rFonts w:ascii="Calibri" w:hAnsi="Calibri" w:cs="Tahoma"/>
                <w:b/>
                <w:lang w:val="fr-FR"/>
              </w:rPr>
            </w:pPr>
            <w:r>
              <w:rPr>
                <w:rFonts w:ascii="Calibri" w:hAnsi="Calibri" w:cs="Tahoma"/>
                <w:b/>
                <w:lang w:val="fr-FR"/>
              </w:rPr>
              <w:t>«</w:t>
            </w:r>
            <w:r>
              <w:rPr>
                <w:b/>
                <w:lang w:val="fr-FR"/>
              </w:rPr>
              <w:t>Spécialiste du Suivi et Evaluation/Projet EPARRDD</w:t>
            </w:r>
            <w:r>
              <w:rPr>
                <w:rFonts w:ascii="Calibri" w:hAnsi="Calibri" w:cs="Tahoma"/>
                <w:b/>
                <w:lang w:val="fr-FR"/>
              </w:rPr>
              <w:t>»</w:t>
            </w:r>
          </w:p>
          <w:p w:rsidR="00710369" w:rsidRDefault="00710369" w:rsidP="00597CE5">
            <w:pPr>
              <w:spacing w:line="276" w:lineRule="auto"/>
              <w:jc w:val="both"/>
              <w:rPr>
                <w:rFonts w:ascii="Calibri" w:hAnsi="Calibri" w:cs="Tahoma"/>
                <w:b/>
                <w:lang w:val="fr-FR"/>
              </w:rPr>
            </w:pPr>
          </w:p>
          <w:p w:rsidR="00710369" w:rsidRPr="009818DE" w:rsidRDefault="00710369" w:rsidP="00597CE5">
            <w:pPr>
              <w:rPr>
                <w:rFonts w:cs="Calibri"/>
                <w:color w:val="FF0000"/>
                <w:lang w:val="fr-FR"/>
              </w:rPr>
            </w:pPr>
            <w:r w:rsidRPr="009818DE">
              <w:rPr>
                <w:rFonts w:cs="Calibri"/>
                <w:b/>
                <w:i/>
                <w:color w:val="FF0000"/>
                <w:u w:val="single"/>
                <w:lang w:val="fr-FR"/>
              </w:rPr>
              <w:t xml:space="preserve">A noter que le dossier de candidature doit être soumis en fichier unique sous format </w:t>
            </w:r>
            <w:proofErr w:type="spellStart"/>
            <w:r w:rsidRPr="009818DE">
              <w:rPr>
                <w:rFonts w:cs="Calibri"/>
                <w:b/>
                <w:i/>
                <w:color w:val="FF0000"/>
                <w:u w:val="single"/>
                <w:lang w:val="fr-FR"/>
              </w:rPr>
              <w:t>pdf</w:t>
            </w:r>
            <w:proofErr w:type="spellEnd"/>
            <w:r w:rsidRPr="009818DE">
              <w:rPr>
                <w:rFonts w:cs="Calibri"/>
                <w:b/>
                <w:i/>
                <w:color w:val="FF0000"/>
                <w:u w:val="single"/>
                <w:lang w:val="fr-FR"/>
              </w:rPr>
              <w:t xml:space="preserve">, sans </w:t>
            </w:r>
            <w:r>
              <w:rPr>
                <w:rFonts w:cs="Calibri"/>
                <w:b/>
                <w:i/>
                <w:color w:val="FF0000"/>
                <w:u w:val="single"/>
                <w:lang w:val="fr-FR"/>
              </w:rPr>
              <w:t xml:space="preserve">quoi </w:t>
            </w:r>
            <w:r w:rsidRPr="009818DE">
              <w:rPr>
                <w:rFonts w:cs="Calibri"/>
                <w:b/>
                <w:i/>
                <w:color w:val="FF0000"/>
                <w:u w:val="single"/>
                <w:lang w:val="fr-FR"/>
              </w:rPr>
              <w:t>il ne sera pas pris en considération</w:t>
            </w:r>
            <w:r w:rsidRPr="009818DE">
              <w:rPr>
                <w:rFonts w:cs="Calibri"/>
                <w:color w:val="FF0000"/>
                <w:lang w:val="fr-FR"/>
              </w:rPr>
              <w:t>.</w:t>
            </w:r>
          </w:p>
          <w:p w:rsidR="00710369" w:rsidRPr="00752D6D" w:rsidRDefault="00710369" w:rsidP="00597CE5">
            <w:pPr>
              <w:spacing w:line="276" w:lineRule="auto"/>
              <w:jc w:val="both"/>
              <w:rPr>
                <w:rFonts w:ascii="Calibri" w:hAnsi="Calibri"/>
                <w:lang w:val="fr-FR"/>
              </w:rPr>
            </w:pPr>
          </w:p>
        </w:tc>
      </w:tr>
      <w:tr w:rsidR="00710369" w:rsidRPr="00752D6D" w:rsidTr="00597CE5">
        <w:tc>
          <w:tcPr>
            <w:tcW w:w="9450" w:type="dxa"/>
            <w:gridSpan w:val="4"/>
            <w:tcMar>
              <w:top w:w="29" w:type="dxa"/>
              <w:left w:w="115" w:type="dxa"/>
              <w:bottom w:w="29" w:type="dxa"/>
              <w:right w:w="115" w:type="dxa"/>
            </w:tcMar>
          </w:tcPr>
          <w:p w:rsidR="00710369" w:rsidRPr="008C668A" w:rsidRDefault="00710369" w:rsidP="00597CE5">
            <w:pPr>
              <w:spacing w:line="276" w:lineRule="auto"/>
              <w:jc w:val="both"/>
              <w:rPr>
                <w:rFonts w:ascii="Times New Roman" w:hAnsi="Times New Roman" w:cs="Times New Roman"/>
                <w:lang w:val="fr-CA"/>
              </w:rPr>
            </w:pPr>
            <w:r w:rsidRPr="008C668A">
              <w:rPr>
                <w:rFonts w:ascii="Times New Roman" w:hAnsi="Times New Roman" w:cs="Times New Roman"/>
                <w:lang w:val="fr-CA"/>
              </w:rPr>
              <w:t xml:space="preserve">Les candidats sont priés de soumettre un CV, une lettre de motivation, </w:t>
            </w:r>
            <w:r w:rsidRPr="008C668A">
              <w:rPr>
                <w:rFonts w:ascii="Times New Roman" w:hAnsi="Times New Roman" w:cs="Times New Roman"/>
                <w:lang w:val="fr-FR"/>
              </w:rPr>
              <w:t xml:space="preserve">un diplôme </w:t>
            </w:r>
            <w:r w:rsidRPr="008C668A">
              <w:rPr>
                <w:rFonts w:ascii="Times New Roman" w:hAnsi="Times New Roman" w:cs="Times New Roman"/>
                <w:lang w:val="fr-CA"/>
              </w:rPr>
              <w:t xml:space="preserve">et 3 références.  </w:t>
            </w:r>
          </w:p>
          <w:p w:rsidR="003819CA" w:rsidRPr="008C668A" w:rsidRDefault="003819CA" w:rsidP="003819CA">
            <w:pPr>
              <w:spacing w:after="0" w:line="240" w:lineRule="auto"/>
              <w:jc w:val="both"/>
              <w:rPr>
                <w:rFonts w:ascii="Times New Roman" w:eastAsia="Times New Roman" w:hAnsi="Times New Roman" w:cs="Times New Roman"/>
                <w:lang w:val="fr-CA"/>
              </w:rPr>
            </w:pPr>
            <w:r w:rsidRPr="008C668A">
              <w:rPr>
                <w:rFonts w:ascii="Times New Roman" w:eastAsia="Times New Roman" w:hAnsi="Times New Roman" w:cs="Times New Roman"/>
                <w:lang w:val="fr-CA"/>
              </w:rPr>
              <w:t>Ils sont encouragés à soumettre des exemplaires de rapports, documents de projets ou tout autre document de travail.</w:t>
            </w:r>
          </w:p>
          <w:p w:rsidR="00710369" w:rsidRPr="008C668A" w:rsidRDefault="00710369" w:rsidP="00597CE5">
            <w:pPr>
              <w:spacing w:line="276" w:lineRule="auto"/>
              <w:jc w:val="both"/>
              <w:rPr>
                <w:rFonts w:ascii="Times New Roman" w:hAnsi="Times New Roman" w:cs="Times New Roman"/>
                <w:lang w:val="fr-CA"/>
              </w:rPr>
            </w:pPr>
          </w:p>
          <w:p w:rsidR="00710369" w:rsidRPr="008C668A" w:rsidRDefault="00710369" w:rsidP="00597CE5">
            <w:pPr>
              <w:spacing w:line="276" w:lineRule="auto"/>
              <w:jc w:val="both"/>
              <w:rPr>
                <w:rFonts w:ascii="Times New Roman" w:hAnsi="Times New Roman" w:cs="Times New Roman"/>
                <w:lang w:val="fr-CA"/>
              </w:rPr>
            </w:pPr>
            <w:r w:rsidRPr="008C668A">
              <w:rPr>
                <w:rFonts w:ascii="Times New Roman" w:hAnsi="Times New Roman" w:cs="Times New Roman"/>
                <w:lang w:val="fr-CA"/>
              </w:rPr>
              <w:t xml:space="preserve">La DINEPA n’acceptera pas d’appels téléphoniques à ce sujet. </w:t>
            </w:r>
            <w:bookmarkStart w:id="0" w:name="_GoBack"/>
            <w:bookmarkEnd w:id="0"/>
          </w:p>
          <w:p w:rsidR="00710369" w:rsidRPr="008C668A" w:rsidRDefault="00710369" w:rsidP="00597CE5">
            <w:pPr>
              <w:jc w:val="both"/>
              <w:rPr>
                <w:rFonts w:ascii="Times New Roman" w:hAnsi="Times New Roman" w:cs="Times New Roman"/>
                <w:lang w:val="fr-CA"/>
              </w:rPr>
            </w:pPr>
            <w:r w:rsidRPr="008C668A">
              <w:rPr>
                <w:rFonts w:ascii="Times New Roman" w:hAnsi="Times New Roman" w:cs="Times New Roman"/>
                <w:lang w:val="fr-CA"/>
              </w:rPr>
              <w:t>Les candidats sélectionnés seront contactés pour entrevues, informations supplémentaires et/ou un test d’évaluation écrit.</w:t>
            </w:r>
          </w:p>
          <w:p w:rsidR="00710369" w:rsidRPr="008C668A" w:rsidRDefault="00710369" w:rsidP="00597CE5">
            <w:pPr>
              <w:spacing w:line="276" w:lineRule="auto"/>
              <w:jc w:val="both"/>
              <w:rPr>
                <w:rFonts w:ascii="Times New Roman" w:hAnsi="Times New Roman" w:cs="Times New Roman"/>
                <w:lang w:val="fr-CA"/>
              </w:rPr>
            </w:pPr>
          </w:p>
          <w:p w:rsidR="00710369" w:rsidRPr="008C668A" w:rsidRDefault="00710369" w:rsidP="00597CE5">
            <w:pPr>
              <w:spacing w:line="276" w:lineRule="auto"/>
              <w:jc w:val="both"/>
              <w:rPr>
                <w:rFonts w:ascii="Times New Roman" w:hAnsi="Times New Roman" w:cs="Times New Roman"/>
                <w:b/>
                <w:u w:val="single"/>
                <w:lang w:val="fr-CA"/>
              </w:rPr>
            </w:pPr>
            <w:r w:rsidRPr="008C668A">
              <w:rPr>
                <w:rFonts w:ascii="Times New Roman" w:hAnsi="Times New Roman" w:cs="Times New Roman"/>
                <w:b/>
                <w:u w:val="single"/>
                <w:lang w:val="fr-CA"/>
              </w:rPr>
              <w:t xml:space="preserve">Le Dossier ne sera pas accepté sans la soumission du </w:t>
            </w:r>
            <w:r w:rsidR="008C668A">
              <w:rPr>
                <w:rFonts w:ascii="Times New Roman" w:hAnsi="Times New Roman" w:cs="Times New Roman"/>
                <w:b/>
                <w:u w:val="single"/>
                <w:lang w:val="fr-CA"/>
              </w:rPr>
              <w:t>« </w:t>
            </w:r>
            <w:r w:rsidRPr="008C668A">
              <w:rPr>
                <w:rFonts w:ascii="Times New Roman" w:hAnsi="Times New Roman" w:cs="Times New Roman"/>
                <w:b/>
                <w:u w:val="single"/>
                <w:lang w:val="fr-CA"/>
              </w:rPr>
              <w:t xml:space="preserve">Diplôme </w:t>
            </w:r>
            <w:r w:rsidR="008C668A">
              <w:rPr>
                <w:rFonts w:ascii="Times New Roman" w:hAnsi="Times New Roman" w:cs="Times New Roman"/>
                <w:b/>
                <w:u w:val="single"/>
                <w:lang w:val="fr-CA"/>
              </w:rPr>
              <w:t>de L</w:t>
            </w:r>
            <w:r w:rsidR="00AD5BB9" w:rsidRPr="008C668A">
              <w:rPr>
                <w:rFonts w:ascii="Times New Roman" w:hAnsi="Times New Roman" w:cs="Times New Roman"/>
                <w:b/>
                <w:u w:val="single"/>
                <w:lang w:val="fr-CA"/>
              </w:rPr>
              <w:t>icence</w:t>
            </w:r>
            <w:r w:rsidR="008C668A">
              <w:rPr>
                <w:rFonts w:ascii="Times New Roman" w:hAnsi="Times New Roman" w:cs="Times New Roman"/>
                <w:b/>
                <w:u w:val="single"/>
                <w:lang w:val="fr-CA"/>
              </w:rPr>
              <w:t> »</w:t>
            </w:r>
            <w:r w:rsidRPr="008C668A">
              <w:rPr>
                <w:rFonts w:ascii="Times New Roman" w:hAnsi="Times New Roman" w:cs="Times New Roman"/>
                <w:b/>
                <w:u w:val="single"/>
                <w:lang w:val="fr-CA"/>
              </w:rPr>
              <w:t>.</w:t>
            </w:r>
          </w:p>
          <w:p w:rsidR="00710369" w:rsidRPr="008C668A" w:rsidRDefault="00AD5BB9" w:rsidP="00AD5BB9">
            <w:pPr>
              <w:spacing w:line="276" w:lineRule="auto"/>
              <w:jc w:val="both"/>
              <w:rPr>
                <w:rFonts w:ascii="Times New Roman" w:hAnsi="Times New Roman" w:cs="Times New Roman"/>
                <w:lang w:val="fr-HT"/>
              </w:rPr>
            </w:pPr>
            <w:r w:rsidRPr="008C668A">
              <w:rPr>
                <w:rFonts w:ascii="Times New Roman" w:hAnsi="Times New Roman" w:cs="Times New Roman"/>
                <w:b/>
                <w:u w:val="single"/>
                <w:lang w:val="fr-CA"/>
              </w:rPr>
              <w:t>Les femmes sont vivement encouragées à postuler.</w:t>
            </w:r>
          </w:p>
        </w:tc>
      </w:tr>
    </w:tbl>
    <w:p w:rsidR="00710369" w:rsidRPr="00752D6D" w:rsidRDefault="00710369" w:rsidP="00710369">
      <w:pPr>
        <w:spacing w:line="276" w:lineRule="auto"/>
        <w:jc w:val="both"/>
        <w:rPr>
          <w:rFonts w:ascii="Calibri" w:hAnsi="Calibri"/>
          <w:lang w:val="fr-FR"/>
        </w:rPr>
      </w:pPr>
    </w:p>
    <w:p w:rsidR="00AD5BB9" w:rsidRDefault="00AD5BB9" w:rsidP="00710369">
      <w:pPr>
        <w:ind w:left="5760" w:firstLine="720"/>
        <w:jc w:val="both"/>
        <w:rPr>
          <w:rFonts w:ascii="Calibri" w:eastAsia="Tahoma" w:hAnsi="Calibri" w:cs="Tahoma"/>
          <w:b/>
          <w:lang w:val="fr-FR"/>
        </w:rPr>
      </w:pPr>
    </w:p>
    <w:p w:rsidR="00710369" w:rsidRPr="00752D6D" w:rsidRDefault="00710369" w:rsidP="00710369">
      <w:pPr>
        <w:ind w:left="5760" w:firstLine="720"/>
        <w:jc w:val="both"/>
        <w:rPr>
          <w:rFonts w:ascii="Calibri" w:eastAsia="Tahoma" w:hAnsi="Calibri" w:cs="Tahoma"/>
          <w:b/>
        </w:rPr>
      </w:pPr>
      <w:proofErr w:type="spellStart"/>
      <w:r>
        <w:rPr>
          <w:rFonts w:ascii="Calibri" w:eastAsia="Tahoma" w:hAnsi="Calibri" w:cs="Tahoma"/>
          <w:b/>
          <w:lang w:val="fr-FR"/>
        </w:rPr>
        <w:t>Théophil</w:t>
      </w:r>
      <w:proofErr w:type="spellEnd"/>
      <w:r>
        <w:rPr>
          <w:rFonts w:ascii="Calibri" w:eastAsia="Tahoma" w:hAnsi="Calibri" w:cs="Tahoma"/>
          <w:b/>
          <w:lang w:val="fr-FR"/>
        </w:rPr>
        <w:t xml:space="preserve"> OSTINVIL, </w:t>
      </w:r>
      <w:proofErr w:type="spellStart"/>
      <w:r>
        <w:rPr>
          <w:rFonts w:ascii="Calibri" w:eastAsia="Tahoma" w:hAnsi="Calibri" w:cs="Tahoma"/>
          <w:b/>
          <w:lang w:val="fr-FR"/>
        </w:rPr>
        <w:t>Ing</w:t>
      </w:r>
      <w:proofErr w:type="spellEnd"/>
      <w:r>
        <w:rPr>
          <w:rFonts w:ascii="Calibri" w:eastAsia="Tahoma" w:hAnsi="Calibri" w:cs="Tahoma"/>
          <w:b/>
          <w:lang w:val="fr-FR"/>
        </w:rPr>
        <w:t>.</w:t>
      </w:r>
    </w:p>
    <w:p w:rsidR="00710369" w:rsidRPr="00752D6D" w:rsidRDefault="00710369" w:rsidP="00710369">
      <w:pPr>
        <w:ind w:left="5760" w:firstLine="720"/>
        <w:jc w:val="both"/>
        <w:rPr>
          <w:rFonts w:ascii="Calibri" w:hAnsi="Calibri"/>
          <w:lang w:val="fr-HT"/>
        </w:rPr>
      </w:pPr>
      <w:proofErr w:type="spellStart"/>
      <w:r w:rsidRPr="00752D6D">
        <w:rPr>
          <w:rFonts w:ascii="Calibri" w:eastAsia="Tahoma" w:hAnsi="Calibri" w:cs="Tahoma"/>
          <w:b/>
        </w:rPr>
        <w:t>Directeur</w:t>
      </w:r>
      <w:proofErr w:type="spellEnd"/>
      <w:r w:rsidRPr="00752D6D">
        <w:rPr>
          <w:rFonts w:ascii="Calibri" w:eastAsia="Tahoma" w:hAnsi="Calibri" w:cs="Tahoma"/>
          <w:b/>
        </w:rPr>
        <w:t xml:space="preserve"> </w:t>
      </w:r>
      <w:proofErr w:type="spellStart"/>
      <w:r w:rsidRPr="00752D6D">
        <w:rPr>
          <w:rFonts w:ascii="Calibri" w:eastAsia="Tahoma" w:hAnsi="Calibri" w:cs="Tahoma"/>
          <w:b/>
        </w:rPr>
        <w:t>Général</w:t>
      </w:r>
      <w:proofErr w:type="spellEnd"/>
    </w:p>
    <w:p w:rsidR="00297D13" w:rsidRPr="00297D13" w:rsidRDefault="00297D13" w:rsidP="0001343C">
      <w:pPr>
        <w:rPr>
          <w:rFonts w:ascii="Calibri" w:eastAsia="Calibri" w:hAnsi="Calibri" w:cs="Calibri"/>
          <w:color w:val="000000"/>
          <w:lang w:val="fr-FR" w:eastAsia="es-MX"/>
        </w:rPr>
      </w:pPr>
    </w:p>
    <w:sectPr w:rsidR="00297D13" w:rsidRPr="00297D13" w:rsidSect="00FF1A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E1B1F"/>
    <w:multiLevelType w:val="multilevel"/>
    <w:tmpl w:val="774C37C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0C7332"/>
    <w:multiLevelType w:val="hybridMultilevel"/>
    <w:tmpl w:val="0E040576"/>
    <w:lvl w:ilvl="0" w:tplc="B7FA861C">
      <w:start w:val="1"/>
      <w:numFmt w:val="lowerLetter"/>
      <w:lvlText w:val="%1)"/>
      <w:lvlJc w:val="left"/>
      <w:pPr>
        <w:ind w:left="77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D9CDAC6">
      <w:start w:val="1"/>
      <w:numFmt w:val="lowerLetter"/>
      <w:lvlText w:val="%2"/>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22D6C6">
      <w:start w:val="1"/>
      <w:numFmt w:val="lowerRoman"/>
      <w:lvlText w:val="%3"/>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DB047B8">
      <w:start w:val="1"/>
      <w:numFmt w:val="decimal"/>
      <w:lvlText w:val="%4"/>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6E25EFA">
      <w:start w:val="1"/>
      <w:numFmt w:val="lowerLetter"/>
      <w:lvlText w:val="%5"/>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AA82EE">
      <w:start w:val="1"/>
      <w:numFmt w:val="lowerRoman"/>
      <w:lvlText w:val="%6"/>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B8258E">
      <w:start w:val="1"/>
      <w:numFmt w:val="decimal"/>
      <w:lvlText w:val="%7"/>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2467D92">
      <w:start w:val="1"/>
      <w:numFmt w:val="lowerLetter"/>
      <w:lvlText w:val="%8"/>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112F802">
      <w:start w:val="1"/>
      <w:numFmt w:val="lowerRoman"/>
      <w:lvlText w:val="%9"/>
      <w:lvlJc w:val="left"/>
      <w:pPr>
        <w:ind w:left="61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3ED36519"/>
    <w:multiLevelType w:val="hybridMultilevel"/>
    <w:tmpl w:val="74DC86F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475E2519"/>
    <w:multiLevelType w:val="hybridMultilevel"/>
    <w:tmpl w:val="E1B6A24A"/>
    <w:lvl w:ilvl="0" w:tplc="787CC288">
      <w:start w:val="12"/>
      <w:numFmt w:val="decimal"/>
      <w:lvlText w:val="%1."/>
      <w:lvlJc w:val="left"/>
      <w:pPr>
        <w:ind w:left="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AE2BEA">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C4EDD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14EA1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22AED8">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424F1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50792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5E5C2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B0F030">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CFE0181"/>
    <w:multiLevelType w:val="hybridMultilevel"/>
    <w:tmpl w:val="A44A1CB0"/>
    <w:lvl w:ilvl="0" w:tplc="F4D2CBE8">
      <w:start w:val="5"/>
      <w:numFmt w:val="decimal"/>
      <w:lvlText w:val="%1."/>
      <w:lvlJc w:val="left"/>
      <w:pPr>
        <w:ind w:left="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C2792E">
      <w:start w:val="1"/>
      <w:numFmt w:val="lowerLetter"/>
      <w:lvlText w:val="%2"/>
      <w:lvlJc w:val="left"/>
      <w:pPr>
        <w:ind w:left="12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2A7764">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AE665F4">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701DE4">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485C44">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204DE6">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09AD3A6">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14007D6">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56F2557C"/>
    <w:multiLevelType w:val="hybridMultilevel"/>
    <w:tmpl w:val="7D4E76B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5E135545"/>
    <w:multiLevelType w:val="hybridMultilevel"/>
    <w:tmpl w:val="3A6EDA84"/>
    <w:lvl w:ilvl="0" w:tplc="FC40B458">
      <w:start w:val="7"/>
      <w:numFmt w:val="decimal"/>
      <w:lvlText w:val="%1"/>
      <w:lvlJc w:val="left"/>
      <w:pPr>
        <w:ind w:left="360" w:hanging="360"/>
      </w:pPr>
      <w:rPr>
        <w:rFonts w:hint="default"/>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611C4666"/>
    <w:multiLevelType w:val="hybridMultilevel"/>
    <w:tmpl w:val="DC4860C2"/>
    <w:lvl w:ilvl="0" w:tplc="63EE2CC2">
      <w:start w:val="8"/>
      <w:numFmt w:val="decimal"/>
      <w:lvlText w:val="%1."/>
      <w:lvlJc w:val="left"/>
      <w:pPr>
        <w:ind w:left="7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5A5658">
      <w:start w:val="1"/>
      <w:numFmt w:val="lowerLetter"/>
      <w:lvlText w:val="%2"/>
      <w:lvlJc w:val="left"/>
      <w:pPr>
        <w:ind w:left="10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D666F2">
      <w:start w:val="1"/>
      <w:numFmt w:val="lowerRoman"/>
      <w:lvlText w:val="%3"/>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362B66">
      <w:start w:val="1"/>
      <w:numFmt w:val="decimal"/>
      <w:lvlText w:val="%4"/>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1EB282">
      <w:start w:val="1"/>
      <w:numFmt w:val="lowerLetter"/>
      <w:lvlText w:val="%5"/>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C60AF32">
      <w:start w:val="1"/>
      <w:numFmt w:val="lowerRoman"/>
      <w:lvlText w:val="%6"/>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6CDCAC">
      <w:start w:val="1"/>
      <w:numFmt w:val="decimal"/>
      <w:lvlText w:val="%7"/>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C7C9636">
      <w:start w:val="1"/>
      <w:numFmt w:val="lowerLetter"/>
      <w:lvlText w:val="%8"/>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9C8756">
      <w:start w:val="1"/>
      <w:numFmt w:val="lowerRoman"/>
      <w:lvlText w:val="%9"/>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nsid w:val="641F4B66"/>
    <w:multiLevelType w:val="hybridMultilevel"/>
    <w:tmpl w:val="8570B5C6"/>
    <w:lvl w:ilvl="0" w:tplc="EB547F82">
      <w:start w:val="1"/>
      <w:numFmt w:val="lowerLetter"/>
      <w:lvlText w:val="%1)"/>
      <w:lvlJc w:val="left"/>
      <w:pPr>
        <w:ind w:left="46"/>
      </w:pPr>
      <w:rPr>
        <w:rFonts w:ascii="Times New Roman" w:eastAsia="Courier New"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D8B640">
      <w:start w:val="1"/>
      <w:numFmt w:val="lowerLetter"/>
      <w:lvlText w:val="%2"/>
      <w:lvlJc w:val="left"/>
      <w:pPr>
        <w:ind w:left="10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6AF6E2EC">
      <w:start w:val="1"/>
      <w:numFmt w:val="lowerRoman"/>
      <w:lvlText w:val="%3"/>
      <w:lvlJc w:val="left"/>
      <w:pPr>
        <w:ind w:left="181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3AD67A52">
      <w:start w:val="1"/>
      <w:numFmt w:val="decimal"/>
      <w:lvlText w:val="%4"/>
      <w:lvlJc w:val="left"/>
      <w:pPr>
        <w:ind w:left="253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315AA65E">
      <w:start w:val="1"/>
      <w:numFmt w:val="lowerLetter"/>
      <w:lvlText w:val="%5"/>
      <w:lvlJc w:val="left"/>
      <w:pPr>
        <w:ind w:left="325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0836679C">
      <w:start w:val="1"/>
      <w:numFmt w:val="lowerRoman"/>
      <w:lvlText w:val="%6"/>
      <w:lvlJc w:val="left"/>
      <w:pPr>
        <w:ind w:left="397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26B45008">
      <w:start w:val="1"/>
      <w:numFmt w:val="decimal"/>
      <w:lvlText w:val="%7"/>
      <w:lvlJc w:val="left"/>
      <w:pPr>
        <w:ind w:left="469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CD7C8334">
      <w:start w:val="1"/>
      <w:numFmt w:val="lowerLetter"/>
      <w:lvlText w:val="%8"/>
      <w:lvlJc w:val="left"/>
      <w:pPr>
        <w:ind w:left="541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DBA61ED2">
      <w:start w:val="1"/>
      <w:numFmt w:val="lowerRoman"/>
      <w:lvlText w:val="%9"/>
      <w:lvlJc w:val="left"/>
      <w:pPr>
        <w:ind w:left="6134"/>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9">
    <w:nsid w:val="6D3D0063"/>
    <w:multiLevelType w:val="multilevel"/>
    <w:tmpl w:val="2E001F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5"/>
  </w:num>
  <w:num w:numId="4">
    <w:abstractNumId w:val="4"/>
  </w:num>
  <w:num w:numId="5">
    <w:abstractNumId w:val="1"/>
  </w:num>
  <w:num w:numId="6">
    <w:abstractNumId w:val="7"/>
  </w:num>
  <w:num w:numId="7">
    <w:abstractNumId w:val="8"/>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37CFD"/>
    <w:rsid w:val="000122AE"/>
    <w:rsid w:val="0001343C"/>
    <w:rsid w:val="00017172"/>
    <w:rsid w:val="000479C0"/>
    <w:rsid w:val="000769E4"/>
    <w:rsid w:val="00080EE5"/>
    <w:rsid w:val="00117394"/>
    <w:rsid w:val="00180F87"/>
    <w:rsid w:val="00192682"/>
    <w:rsid w:val="00242FBE"/>
    <w:rsid w:val="00297D13"/>
    <w:rsid w:val="00337CFD"/>
    <w:rsid w:val="003819CA"/>
    <w:rsid w:val="003A5EE8"/>
    <w:rsid w:val="005B3FCD"/>
    <w:rsid w:val="006131FC"/>
    <w:rsid w:val="00613A03"/>
    <w:rsid w:val="006B5E2F"/>
    <w:rsid w:val="00707D9F"/>
    <w:rsid w:val="00710369"/>
    <w:rsid w:val="0080275F"/>
    <w:rsid w:val="008672E0"/>
    <w:rsid w:val="008C668A"/>
    <w:rsid w:val="009133E5"/>
    <w:rsid w:val="00A46D3B"/>
    <w:rsid w:val="00AD5BB9"/>
    <w:rsid w:val="00BA488C"/>
    <w:rsid w:val="00C01613"/>
    <w:rsid w:val="00C774E2"/>
    <w:rsid w:val="00D177BE"/>
    <w:rsid w:val="00D83655"/>
    <w:rsid w:val="00DA0717"/>
    <w:rsid w:val="00E762D1"/>
    <w:rsid w:val="00E93A75"/>
    <w:rsid w:val="00EA0172"/>
    <w:rsid w:val="00EB2F51"/>
    <w:rsid w:val="00F30B17"/>
    <w:rsid w:val="00FF1A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E2DB5-4F0E-479F-B8D7-C376D7BE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0B17"/>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paragraph" w:customStyle="1" w:styleId="has-text-align-center">
    <w:name w:val="has-text-align-center"/>
    <w:basedOn w:val="Normal"/>
    <w:rsid w:val="00EA0172"/>
    <w:pP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EA0172"/>
    <w:pPr>
      <w:ind w:left="720"/>
      <w:contextualSpacing/>
    </w:pPr>
  </w:style>
  <w:style w:type="paragraph" w:styleId="NoSpacing">
    <w:name w:val="No Spacing"/>
    <w:uiPriority w:val="1"/>
    <w:qFormat/>
    <w:rsid w:val="00EA0172"/>
    <w:pPr>
      <w:spacing w:after="0" w:line="240" w:lineRule="auto"/>
    </w:pPr>
  </w:style>
  <w:style w:type="paragraph" w:customStyle="1" w:styleId="Label">
    <w:name w:val="Label"/>
    <w:basedOn w:val="Normal"/>
    <w:rsid w:val="00D83655"/>
    <w:pPr>
      <w:spacing w:before="40" w:after="20" w:line="240" w:lineRule="auto"/>
    </w:pPr>
    <w:rPr>
      <w:rFonts w:ascii="Calibri" w:eastAsia="Calibri" w:hAnsi="Calibri" w:cs="Times New Roman"/>
      <w:b/>
      <w:color w:val="262626"/>
      <w:kern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74021">
      <w:bodyDiv w:val="1"/>
      <w:marLeft w:val="0"/>
      <w:marRight w:val="0"/>
      <w:marTop w:val="0"/>
      <w:marBottom w:val="0"/>
      <w:divBdr>
        <w:top w:val="none" w:sz="0" w:space="0" w:color="auto"/>
        <w:left w:val="none" w:sz="0" w:space="0" w:color="auto"/>
        <w:bottom w:val="none" w:sz="0" w:space="0" w:color="auto"/>
        <w:right w:val="none" w:sz="0" w:space="0" w:color="auto"/>
      </w:divBdr>
      <w:divsChild>
        <w:div w:id="198322904">
          <w:marLeft w:val="0"/>
          <w:marRight w:val="0"/>
          <w:marTop w:val="0"/>
          <w:marBottom w:val="0"/>
          <w:divBdr>
            <w:top w:val="none" w:sz="0" w:space="0" w:color="auto"/>
            <w:left w:val="none" w:sz="0" w:space="0" w:color="auto"/>
            <w:bottom w:val="none" w:sz="0" w:space="0" w:color="auto"/>
            <w:right w:val="none" w:sz="0" w:space="0" w:color="auto"/>
          </w:divBdr>
          <w:divsChild>
            <w:div w:id="1058169329">
              <w:marLeft w:val="0"/>
              <w:marRight w:val="0"/>
              <w:marTop w:val="0"/>
              <w:marBottom w:val="0"/>
              <w:divBdr>
                <w:top w:val="none" w:sz="0" w:space="0" w:color="auto"/>
                <w:left w:val="none" w:sz="0" w:space="0" w:color="auto"/>
                <w:bottom w:val="none" w:sz="0" w:space="0" w:color="auto"/>
                <w:right w:val="none" w:sz="0" w:space="0" w:color="auto"/>
              </w:divBdr>
            </w:div>
            <w:div w:id="1805393899">
              <w:marLeft w:val="0"/>
              <w:marRight w:val="0"/>
              <w:marTop w:val="0"/>
              <w:marBottom w:val="0"/>
              <w:divBdr>
                <w:top w:val="none" w:sz="0" w:space="0" w:color="auto"/>
                <w:left w:val="none" w:sz="0" w:space="0" w:color="auto"/>
                <w:bottom w:val="none" w:sz="0" w:space="0" w:color="auto"/>
                <w:right w:val="none" w:sz="0" w:space="0" w:color="auto"/>
              </w:divBdr>
              <w:divsChild>
                <w:div w:id="1218858432">
                  <w:marLeft w:val="0"/>
                  <w:marRight w:val="0"/>
                  <w:marTop w:val="0"/>
                  <w:marBottom w:val="150"/>
                  <w:divBdr>
                    <w:top w:val="none" w:sz="0" w:space="0" w:color="auto"/>
                    <w:left w:val="none" w:sz="0" w:space="0" w:color="auto"/>
                    <w:bottom w:val="none" w:sz="0" w:space="0" w:color="auto"/>
                    <w:right w:val="none" w:sz="0" w:space="0" w:color="auto"/>
                  </w:divBdr>
                  <w:divsChild>
                    <w:div w:id="256330025">
                      <w:marLeft w:val="0"/>
                      <w:marRight w:val="0"/>
                      <w:marTop w:val="0"/>
                      <w:marBottom w:val="150"/>
                      <w:divBdr>
                        <w:top w:val="none" w:sz="0" w:space="0" w:color="auto"/>
                        <w:left w:val="none" w:sz="0" w:space="0" w:color="auto"/>
                        <w:bottom w:val="none" w:sz="0" w:space="0" w:color="auto"/>
                        <w:right w:val="none" w:sz="0" w:space="0" w:color="auto"/>
                      </w:divBdr>
                    </w:div>
                  </w:divsChild>
                </w:div>
                <w:div w:id="849760429">
                  <w:marLeft w:val="0"/>
                  <w:marRight w:val="0"/>
                  <w:marTop w:val="0"/>
                  <w:marBottom w:val="150"/>
                  <w:divBdr>
                    <w:top w:val="none" w:sz="0" w:space="0" w:color="auto"/>
                    <w:left w:val="none" w:sz="0" w:space="0" w:color="auto"/>
                    <w:bottom w:val="none" w:sz="0" w:space="0" w:color="auto"/>
                    <w:right w:val="none" w:sz="0" w:space="0" w:color="auto"/>
                  </w:divBdr>
                  <w:divsChild>
                    <w:div w:id="1321227231">
                      <w:marLeft w:val="0"/>
                      <w:marRight w:val="0"/>
                      <w:marTop w:val="0"/>
                      <w:marBottom w:val="150"/>
                      <w:divBdr>
                        <w:top w:val="none" w:sz="0" w:space="0" w:color="auto"/>
                        <w:left w:val="none" w:sz="0" w:space="0" w:color="auto"/>
                        <w:bottom w:val="none" w:sz="0" w:space="0" w:color="auto"/>
                        <w:right w:val="none" w:sz="0" w:space="0" w:color="auto"/>
                      </w:divBdr>
                    </w:div>
                  </w:divsChild>
                </w:div>
                <w:div w:id="2009014814">
                  <w:marLeft w:val="0"/>
                  <w:marRight w:val="0"/>
                  <w:marTop w:val="0"/>
                  <w:marBottom w:val="150"/>
                  <w:divBdr>
                    <w:top w:val="none" w:sz="0" w:space="0" w:color="auto"/>
                    <w:left w:val="none" w:sz="0" w:space="0" w:color="auto"/>
                    <w:bottom w:val="none" w:sz="0" w:space="0" w:color="auto"/>
                    <w:right w:val="none" w:sz="0" w:space="0" w:color="auto"/>
                  </w:divBdr>
                  <w:divsChild>
                    <w:div w:id="555773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28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1968</Words>
  <Characters>11223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Pamphile</dc:creator>
  <cp:lastModifiedBy>Dinepa</cp:lastModifiedBy>
  <cp:revision>17</cp:revision>
  <cp:lastPrinted>2025-03-21T16:59:00Z</cp:lastPrinted>
  <dcterms:created xsi:type="dcterms:W3CDTF">2025-03-21T16:59:00Z</dcterms:created>
  <dcterms:modified xsi:type="dcterms:W3CDTF">2025-07-21T15:05:00Z</dcterms:modified>
</cp:coreProperties>
</file>